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cs="宋体"/>
          <w:b/>
          <w:i/>
          <w:color w:val="auto"/>
          <w:sz w:val="21"/>
          <w:szCs w:val="21"/>
          <w:highlight w:val="none"/>
        </w:rPr>
      </w:pPr>
      <w:r/>
      <w:bookmarkStart w:id="0" w:name="_Hlk192713327"/>
      <w:r>
        <w:rPr>
          <w:rFonts w:hint="eastAsia" w:ascii="宋体" w:hAnsi="宋体" w:eastAsia="宋体" w:cs="宋体"/>
          <w:b/>
          <w:color w:val="auto"/>
          <w:sz w:val="72"/>
          <w:highlight w:val="none"/>
        </w:rPr>
        <w:tab/>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bCs w:val="0"/>
          <w:color w:val="auto"/>
          <w:spacing w:val="20"/>
          <w:sz w:val="72"/>
          <w:szCs w:val="72"/>
          <w:highlight w:val="none"/>
        </w:rPr>
      </w:pPr>
      <w:r/>
      <w:bookmarkStart w:id="1" w:name="_Hlk192713293"/>
      <w:r>
        <w:rPr>
          <w:rFonts w:hint="eastAsia" w:ascii="宋体" w:hAnsi="宋体" w:eastAsia="宋体" w:cs="宋体"/>
          <w:b/>
          <w:bCs w:val="0"/>
          <w:color w:val="auto"/>
          <w:spacing w:val="20"/>
          <w:sz w:val="72"/>
          <w:szCs w:val="72"/>
          <w:highlight w:val="none"/>
        </w:rPr>
        <w:t xml:space="preserve">泰州市政府采购</w:t>
      </w:r>
      <w:r/>
    </w:p>
    <w:p>
      <w:pPr>
        <w:jc w:val="center"/>
        <w:spacing w:line="360" w:lineRule="auto"/>
        <w:rPr>
          <w:rFonts w:hint="eastAsia" w:ascii="宋体" w:hAnsi="宋体" w:eastAsia="宋体" w:cs="宋体"/>
          <w:b/>
          <w:bCs w:val="0"/>
          <w:color w:val="auto"/>
          <w:spacing w:val="20"/>
          <w:sz w:val="52"/>
          <w:szCs w:val="52"/>
          <w:highlight w:val="none"/>
        </w:rPr>
      </w:pPr>
      <w:r>
        <w:rPr>
          <w:rFonts w:hint="eastAsia" w:ascii="宋体" w:hAnsi="宋体" w:eastAsia="宋体" w:cs="宋体"/>
          <w:b/>
          <w:bCs w:val="0"/>
          <w:color w:val="auto"/>
          <w:spacing w:val="20"/>
          <w:sz w:val="52"/>
          <w:szCs w:val="52"/>
          <w:highlight w:val="none"/>
        </w:rPr>
        <w:t xml:space="preserve">公开</w:t>
      </w:r>
      <w:bookmarkEnd w:id="1"/>
      <w:r/>
      <w:r/>
    </w:p>
    <w:p>
      <w:pPr>
        <w:jc w:val="center"/>
        <w:spacing w:line="360" w:lineRule="auto"/>
        <w:rPr>
          <w:rFonts w:hint="eastAsia" w:ascii="宋体" w:hAnsi="宋体" w:eastAsia="宋体" w:cs="宋体"/>
          <w:b/>
          <w:bCs w:val="0"/>
          <w:color w:val="auto"/>
          <w:spacing w:val="20"/>
          <w:sz w:val="52"/>
          <w:szCs w:val="52"/>
          <w:highlight w:val="none"/>
        </w:rPr>
      </w:pPr>
      <w:r>
        <w:rPr>
          <w:rFonts w:hint="eastAsia" w:ascii="宋体" w:hAnsi="宋体" w:eastAsia="宋体" w:cs="宋体"/>
          <w:b/>
          <w:bCs w:val="0"/>
          <w:color w:val="auto"/>
          <w:spacing w:val="20"/>
          <w:sz w:val="52"/>
          <w:szCs w:val="52"/>
          <w:highlight w:val="none"/>
        </w:rPr>
        <w:tab/>
      </w:r>
      <w:r>
        <w:rPr>
          <w:rFonts w:hint="eastAsia" w:ascii="宋体" w:hAnsi="宋体" w:eastAsia="宋体" w:cs="宋体"/>
          <w:b/>
          <w:b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3"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
          <w:bCs w:val="0"/>
          <w:color w:val="auto"/>
          <w:spacing w:val="20"/>
          <w:sz w:val="52"/>
          <w:szCs w:val="52"/>
          <w:highlight w:val="none"/>
        </w:rPr>
        <w:t xml:space="preserve">招标文件</w:t>
      </w:r>
      <w:r/>
    </w:p>
    <w:p>
      <w:pPr>
        <w:jc w:val="center"/>
        <w:rPr>
          <w:rFonts w:hint="eastAsia" w:ascii="宋体" w:hAnsi="宋体" w:eastAsia="宋体" w:cs="宋体"/>
          <w:b/>
          <w:bCs w:val="0"/>
          <w:color w:val="auto"/>
          <w:sz w:val="72"/>
          <w:szCs w:val="72"/>
          <w:highlight w:val="none"/>
        </w:rPr>
      </w:pPr>
      <w:r>
        <w:rPr>
          <w:rFonts w:hint="eastAsia" w:ascii="宋体" w:hAnsi="宋体" w:eastAsia="宋体" w:cs="宋体"/>
          <w:b/>
          <w:bCs w:val="0"/>
          <w:color w:val="auto"/>
          <w:sz w:val="30"/>
          <w:highlight w:val="none"/>
        </w:rPr>
        <w:t xml:space="preserve">（全流程电子化不见面开标）</w:t>
      </w:r>
      <w:r/>
    </w:p>
    <w:p>
      <w:pP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pStyle w:val="1023"/>
        <w:ind w:firstLine="568"/>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3"/>
        <w:ind w:firstLine="56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项目</w:t>
      </w:r>
      <w:r>
        <w:rPr>
          <w:rFonts w:hint="eastAsia" w:ascii="宋体" w:hAnsi="宋体" w:eastAsia="宋体" w:cs="宋体"/>
          <w:b/>
          <w:bCs/>
          <w:color w:val="auto"/>
          <w:sz w:val="32"/>
          <w:szCs w:val="32"/>
          <w:highlight w:val="none"/>
        </w:rPr>
        <w:t xml:space="preserve">编号：JSZC-321202-JTTZ-G2026-0013</w:t>
      </w:r>
      <w:r/>
    </w:p>
    <w:p>
      <w:pPr>
        <w:ind w:left="1960" w:hanging="154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项目名称：2026年城北污水处理厂污泥处置项目</w:t>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3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采购人：泰州市海陵区住房和城乡建设局</w:t>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采购代理机构：江苏</w:t>
      </w:r>
      <w:r>
        <w:rPr>
          <w:rFonts w:hint="eastAsia" w:ascii="宋体" w:hAnsi="宋体" w:eastAsia="宋体" w:cs="宋体"/>
          <w:b/>
          <w:bCs/>
          <w:color w:val="auto"/>
          <w:sz w:val="32"/>
          <w:szCs w:val="32"/>
          <w:highlight w:val="none"/>
          <w:lang w:val="en-US" w:eastAsia="zh-CN"/>
        </w:rPr>
        <w:t xml:space="preserve">建泰工程项目管理</w:t>
      </w:r>
      <w:r>
        <w:rPr>
          <w:rFonts w:hint="eastAsia" w:ascii="宋体" w:hAnsi="宋体" w:eastAsia="宋体" w:cs="宋体"/>
          <w:b/>
          <w:bCs/>
          <w:color w:val="auto"/>
          <w:sz w:val="32"/>
          <w:szCs w:val="32"/>
          <w:highlight w:val="none"/>
        </w:rPr>
        <w:t xml:space="preserve">有限公司</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202</w:t>
      </w:r>
      <w:r>
        <w:rPr>
          <w:rFonts w:hint="eastAsia" w:ascii="宋体" w:hAnsi="宋体" w:eastAsia="宋体" w:cs="宋体"/>
          <w:b/>
          <w:color w:val="auto"/>
          <w:sz w:val="32"/>
          <w:szCs w:val="32"/>
          <w:highlight w:val="none"/>
          <w:lang w:val="en-US" w:eastAsia="zh-CN"/>
        </w:rPr>
        <w:t xml:space="preserve">6</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7</w:t>
      </w:r>
      <w:r>
        <w:rPr>
          <w:rFonts w:hint="eastAsia" w:ascii="宋体" w:hAnsi="宋体" w:eastAsia="宋体" w:cs="宋体"/>
          <w:b/>
          <w:color w:val="auto"/>
          <w:sz w:val="32"/>
          <w:szCs w:val="32"/>
          <w:highlight w:val="none"/>
        </w:rPr>
        <w:t xml:space="preserve">月</w:t>
      </w:r>
      <w:r/>
    </w:p>
    <w:p>
      <w:pPr>
        <w:ind w:right="840"/>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36"/>
          <w:szCs w:val="36"/>
          <w:highlight w:val="none"/>
        </w:rPr>
        <w:t xml:space="preserve">目  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9"/>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TOC  \* MERGEFORMAT</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第一章 招标公告</w:t>
      </w:r>
      <w:r/>
    </w:p>
    <w:p>
      <w:pPr>
        <w:pStyle w:val="1009"/>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第二章 投标人须知</w:t>
      </w:r>
      <w:r/>
    </w:p>
    <w:p>
      <w:pPr>
        <w:pStyle w:val="1009"/>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第三章 采购需求</w:t>
      </w:r>
      <w:r/>
    </w:p>
    <w:p>
      <w:pPr>
        <w:pStyle w:val="1009"/>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第四章 评标办法及评标标准</w:t>
      </w:r>
      <w:r/>
    </w:p>
    <w:p>
      <w:pPr>
        <w:pStyle w:val="1009"/>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第五章 合同条款</w:t>
      </w:r>
      <w:r/>
    </w:p>
    <w:p>
      <w:pPr>
        <w:pStyle w:val="1009"/>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t xml:space="preserve">第六章 投标文件格式</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color w:val="auto"/>
          <w:sz w:val="21"/>
          <w:szCs w:val="21"/>
          <w:highlight w:val="none"/>
        </w:rPr>
        <w:br w:type="page" w:clear="all"/>
      </w:r>
      <w:bookmarkStart w:id="2" w:name="_Toc388026584"/>
      <w:r/>
      <w:bookmarkStart w:id="3" w:name="_Toc409438817"/>
      <w:r>
        <w:rPr>
          <w:rFonts w:hint="eastAsia" w:ascii="宋体" w:hAnsi="宋体" w:eastAsia="宋体" w:cs="宋体"/>
          <w:b/>
          <w:color w:val="auto"/>
          <w:spacing w:val="15"/>
          <w:sz w:val="32"/>
          <w:szCs w:val="32"/>
          <w:highlight w:val="none"/>
        </w:rPr>
        <w:t xml:space="preserve">第一章</w:t>
      </w:r>
      <w:r>
        <w:rPr>
          <w:rFonts w:hint="eastAsia" w:ascii="宋体" w:hAnsi="宋体" w:eastAsia="宋体" w:cs="宋体"/>
          <w:color w:val="auto"/>
          <w:sz w:val="24"/>
          <w:szCs w:val="24"/>
          <w:highlight w:val="none"/>
        </w:rPr>
        <w:t xml:space="preserve"> </w:t>
      </w:r>
      <w:bookmarkStart w:id="4" w:name="_Toc417477665"/>
      <w:r/>
      <w:bookmarkEnd w:id="4"/>
      <w:r/>
      <w:bookmarkStart w:id="5" w:name="_Toc258329824"/>
      <w:r/>
      <w:bookmarkEnd w:id="5"/>
      <w:r/>
      <w:bookmarkStart w:id="6" w:name="_Toc228679947"/>
      <w:r/>
      <w:bookmarkEnd w:id="6"/>
      <w:r>
        <w:rPr>
          <w:rFonts w:hint="eastAsia" w:ascii="宋体" w:hAnsi="宋体" w:eastAsia="宋体" w:cs="宋体"/>
          <w:b/>
          <w:color w:val="auto"/>
          <w:spacing w:val="15"/>
          <w:sz w:val="32"/>
          <w:szCs w:val="32"/>
          <w:highlight w:val="none"/>
        </w:rPr>
        <w:t xml:space="preserve">招标公告</w:t>
      </w:r>
      <w:r/>
    </w:p>
    <w:p>
      <w:pPr>
        <w:jc w:val="both"/>
        <w:pageBreakBefore w:val="0"/>
        <w:spacing w:line="50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color w:val="auto"/>
          <w:sz w:val="24"/>
          <w:szCs w:val="24"/>
          <w:highlight w:val="none"/>
        </w:rPr>
        <w:t xml:space="preserve">项目概况</w:t>
      </w:r>
      <w:r/>
    </w:p>
    <w:p>
      <w:pPr>
        <w:ind w:firstLine="488"/>
        <w:jc w:val="both"/>
        <w:pageBreakBefore w:val="0"/>
        <w:spacing w:line="50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color w:val="auto"/>
          <w:sz w:val="24"/>
          <w:szCs w:val="24"/>
          <w:highlight w:val="none"/>
          <w:u w:val="single"/>
        </w:rPr>
        <w:t xml:space="preserve">2026年城北污水处理厂污泥处置项目</w:t>
      </w:r>
      <w:r>
        <w:rPr>
          <w:rFonts w:hint="eastAsia" w:ascii="宋体" w:hAnsi="宋体" w:eastAsia="宋体" w:cs="宋体"/>
          <w:color w:val="auto"/>
          <w:sz w:val="24"/>
          <w:szCs w:val="24"/>
          <w:highlight w:val="none"/>
        </w:rPr>
        <w:t xml:space="preserve">的潜在投标人应在江苏政府采购“苏采云”系统获取招标文件，并于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6年8月5日</w:t>
      </w:r>
      <w:r>
        <w:rPr>
          <w:rFonts w:hint="eastAsia" w:ascii="宋体" w:hAnsi="宋体" w:eastAsia="宋体" w:cs="宋体"/>
          <w:color w:val="auto"/>
          <w:sz w:val="24"/>
          <w:szCs w:val="24"/>
          <w:highlight w:val="none"/>
          <w:u w:val="single"/>
        </w:rPr>
        <w:t xml:space="preserve">09</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00</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971"/>
        <w:jc w:val="both"/>
        <w:pageBreakBefore w:val="0"/>
        <w:spacing w:before="0" w:after="0" w:line="500" w:lineRule="exact"/>
        <w:rPr>
          <w:rFonts w:hint="eastAsia" w:ascii="宋体" w:hAnsi="宋体" w:eastAsia="宋体" w:cs="宋体"/>
          <w:b w:val="0"/>
          <w:color w:val="auto"/>
          <w:sz w:val="24"/>
          <w:szCs w:val="24"/>
          <w:highlight w:val="none"/>
        </w:rPr>
        <w:outlineLvl w:val="9"/>
      </w:pPr>
      <w:r/>
      <w:bookmarkStart w:id="7" w:name="_Toc35393621"/>
      <w:r/>
      <w:bookmarkStart w:id="8" w:name="_Toc28359002"/>
      <w:r/>
      <w:bookmarkStart w:id="9" w:name="_Toc28359079"/>
      <w:r/>
      <w:bookmarkStart w:id="10" w:name="_Toc35393790"/>
      <w:r/>
      <w:bookmarkStart w:id="11" w:name="_Hlk24379207"/>
      <w:r>
        <w:rPr>
          <w:rFonts w:hint="eastAsia" w:ascii="宋体" w:hAnsi="宋体" w:eastAsia="宋体" w:cs="宋体"/>
          <w:b w:val="0"/>
          <w:color w:val="auto"/>
          <w:sz w:val="24"/>
          <w:szCs w:val="24"/>
          <w:highlight w:val="none"/>
        </w:rPr>
        <w:t xml:space="preserve">一、项目基本情况</w:t>
      </w:r>
      <w:bookmarkEnd w:id="7"/>
      <w:r/>
      <w:bookmarkEnd w:id="8"/>
      <w:r/>
      <w:bookmarkEnd w:id="9"/>
      <w:r/>
      <w:bookmarkEnd w:id="10"/>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项目编号：JSZC-321202-JTTZ-G2026-0013</w:t>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项目名称：</w:t>
      </w:r>
      <w:bookmarkEnd w:id="11"/>
      <w:r>
        <w:rPr>
          <w:rFonts w:hint="eastAsia" w:ascii="宋体" w:hAnsi="宋体" w:eastAsia="宋体" w:cs="宋体"/>
          <w:color w:val="auto"/>
          <w:sz w:val="24"/>
          <w:szCs w:val="24"/>
          <w:highlight w:val="none"/>
        </w:rPr>
        <w:t xml:space="preserve">2026年城北污水处理厂污泥处置项目</w:t>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750</w:t>
      </w:r>
      <w:r>
        <w:rPr>
          <w:rFonts w:hint="eastAsia" w:ascii="宋体" w:hAnsi="宋体" w:eastAsia="宋体" w:cs="宋体"/>
          <w:color w:val="auto"/>
          <w:sz w:val="24"/>
          <w:szCs w:val="24"/>
          <w:highlight w:val="none"/>
        </w:rPr>
        <w:t xml:space="preserve">万元</w:t>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最高单价限价为300元/吨，城镇污水处理污泥年产生量暂定25000吨/年，最高限价总价暂定750万元。 </w:t>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采购需求：城北污水处理厂污泥处置服务项目，城镇污水处理污泥年产生量</w:t>
      </w:r>
      <w:r>
        <w:rPr>
          <w:rFonts w:hint="eastAsia" w:ascii="宋体" w:hAnsi="宋体" w:eastAsia="宋体" w:cs="宋体"/>
          <w:color w:val="auto"/>
          <w:sz w:val="24"/>
          <w:szCs w:val="24"/>
          <w:highlight w:val="none"/>
          <w:lang w:val="en-US" w:eastAsia="zh-CN"/>
        </w:rPr>
        <w:t xml:space="preserve">不高于</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000吨，污泥出厂含水率约75%-85%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产生的污泥为一般固废。具体要求详见招标文件。</w:t>
      </w:r>
      <w:bookmarkStart w:id="74" w:name="_GoBack"/>
      <w:r/>
      <w:bookmarkEnd w:id="74"/>
      <w:r/>
      <w:r/>
    </w:p>
    <w:p>
      <w:pPr>
        <w:pStyle w:val="783"/>
        <w:ind w:firstLine="480"/>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2027年1月1日至2027年12月31日。</w:t>
      </w:r>
      <w:r/>
    </w:p>
    <w:p>
      <w:pPr>
        <w:pStyle w:val="783"/>
        <w:ind w:firstLine="480"/>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本项目（是/否）接受联合体投标：否</w:t>
      </w:r>
      <w:r/>
    </w:p>
    <w:p>
      <w:pPr>
        <w:pStyle w:val="971"/>
        <w:jc w:val="both"/>
        <w:pageBreakBefore w:val="0"/>
        <w:spacing w:before="0" w:after="0" w:line="500" w:lineRule="exact"/>
        <w:rPr>
          <w:rFonts w:hint="eastAsia" w:ascii="宋体" w:hAnsi="宋体" w:eastAsia="宋体" w:cs="宋体"/>
          <w:b w:val="0"/>
          <w:color w:val="auto"/>
          <w:sz w:val="24"/>
          <w:szCs w:val="24"/>
          <w:highlight w:val="none"/>
        </w:rPr>
        <w:outlineLvl w:val="9"/>
      </w:pPr>
      <w:r/>
      <w:bookmarkStart w:id="12" w:name="_Toc28359003"/>
      <w:r/>
      <w:bookmarkStart w:id="13" w:name="_Toc35393622"/>
      <w:r/>
      <w:bookmarkStart w:id="14" w:name="_Toc28359080"/>
      <w:r/>
      <w:bookmarkStart w:id="15" w:name="_Toc35393791"/>
      <w:r>
        <w:rPr>
          <w:rFonts w:hint="eastAsia" w:ascii="宋体" w:hAnsi="宋体" w:eastAsia="宋体" w:cs="宋体"/>
          <w:b w:val="0"/>
          <w:color w:val="auto"/>
          <w:sz w:val="24"/>
          <w:szCs w:val="24"/>
          <w:highlight w:val="none"/>
        </w:rPr>
        <w:t xml:space="preserve">二、申请人的资格要求：</w:t>
      </w:r>
      <w:bookmarkEnd w:id="12"/>
      <w:r/>
      <w:bookmarkEnd w:id="13"/>
      <w:r/>
      <w:bookmarkEnd w:id="14"/>
      <w:r/>
      <w:bookmarkEnd w:id="15"/>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（一）满足《中华人民共和国政府采购法》第二十二条规定：</w:t>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1.具有独立承担民事责任的能力；</w:t>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2.具有良好的商业信誉和健全的财务会计制度；</w:t>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3.具有履行合同所必需的设备和专业技术能力；</w:t>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4.有依法缴纳税收和社会保障资金的良好记录；</w:t>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8"/>
        <w:jc w:val="both"/>
        <w:pageBreakBefore w:val="0"/>
        <w:spacing w:line="500" w:lineRule="exact"/>
        <w:rPr>
          <w:rFonts w:hint="eastAsia" w:ascii="宋体" w:hAnsi="宋体" w:eastAsia="宋体" w:cs="宋体"/>
          <w:color w:val="auto"/>
          <w:sz w:val="24"/>
          <w:szCs w:val="24"/>
          <w:highlight w:val="none"/>
        </w:rPr>
        <w:outlineLvl w:val="9"/>
      </w:pPr>
      <w:r/>
      <w:bookmarkStart w:id="16" w:name="_Toc28359081"/>
      <w:r/>
      <w:bookmarkStart w:id="17" w:name="_Toc28359004"/>
      <w:r>
        <w:rPr>
          <w:rFonts w:hint="eastAsia" w:ascii="宋体" w:hAnsi="宋体" w:eastAsia="宋体" w:cs="宋体"/>
          <w:color w:val="auto"/>
          <w:sz w:val="24"/>
          <w:szCs w:val="24"/>
          <w:highlight w:val="none"/>
        </w:rPr>
        <w:t xml:space="preserve">（二）落实政府采购政策需满足的资格要求：</w:t>
      </w:r>
      <w:r>
        <w:rPr>
          <w:rFonts w:hint="eastAsia" w:ascii="宋体" w:hAnsi="宋体" w:eastAsia="宋体" w:cs="宋体"/>
          <w:color w:val="auto"/>
          <w:sz w:val="24"/>
          <w:highlight w:val="none"/>
          <w:u w:val="single"/>
        </w:rPr>
        <w:t xml:space="preserve">本项目不专门面向中小微企业、监狱企业、残疾人福利性单位，对符合条件的小型和微型企业、残疾人福利单位、监狱企业给予10%的扣除价格，用扣除后的价格参与评审。</w:t>
      </w:r>
      <w:r/>
    </w:p>
    <w:p>
      <w:pPr>
        <w:ind w:firstLine="488"/>
        <w:jc w:val="both"/>
        <w:pageBreakBefore w:val="0"/>
        <w:spacing w:line="50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（三）本项目的特定资格要求：具有与本项目规模相适应的一般污泥处置能力，提供具备污泥处置能力的环评批复</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排污许可证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污泥处置能力包括处置方式、处置量以及污泥含水率满足本项目要求，如提供的上述文件不能体现处置能力，须另外提供行政主管部门证明文件</w:t>
      </w:r>
      <w:r>
        <w:rPr>
          <w:rFonts w:hint="eastAsia" w:ascii="宋体" w:hAnsi="宋体" w:eastAsia="宋体" w:cs="宋体"/>
          <w:color w:val="auto"/>
          <w:sz w:val="24"/>
          <w:szCs w:val="24"/>
          <w:highlight w:val="none"/>
          <w:lang w:eastAsia="zh-CN"/>
        </w:rPr>
        <w:t xml:space="preserve">）。</w:t>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（四）未被列入“信用中国”网站（www.creditchina.gov.cn）失信被执行人名单、重大税收违法</w:t>
      </w:r>
      <w:r>
        <w:rPr>
          <w:rFonts w:hint="eastAsia" w:ascii="宋体" w:hAnsi="宋体" w:eastAsia="宋体" w:cs="宋体"/>
          <w:color w:val="auto"/>
          <w:sz w:val="24"/>
          <w:szCs w:val="24"/>
          <w:highlight w:val="none"/>
          <w:lang w:val="en-US" w:eastAsia="zh-CN"/>
        </w:rPr>
        <w:t xml:space="preserve">失信主体</w:t>
      </w:r>
      <w:r>
        <w:rPr>
          <w:rFonts w:hint="eastAsia" w:ascii="宋体" w:hAnsi="宋体" w:eastAsia="宋体" w:cs="宋体"/>
          <w:color w:val="auto"/>
          <w:sz w:val="24"/>
          <w:szCs w:val="24"/>
          <w:highlight w:val="none"/>
        </w:rPr>
        <w:t xml:space="preserve">、政府采购严重违法失信行为记录名单。</w:t>
      </w:r>
      <w:r/>
    </w:p>
    <w:p>
      <w:pPr>
        <w:ind w:firstLine="488"/>
        <w:jc w:val="both"/>
        <w:pageBreakBefore w:val="0"/>
        <w:spacing w:line="50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凡为本采购项目提供整体设计、规范编制或者项目管理、检测、招标代理、造价咨询、监理等服务的供应商，不得再参加本采购项目的其他采购活动；单位法定代表人/负责人为同一人或者存在直接控股、管理关系的不同供应商，不得参加同一合同项下的政府采购活动。</w:t>
      </w:r>
      <w:r/>
    </w:p>
    <w:p>
      <w:pPr>
        <w:pStyle w:val="971"/>
        <w:jc w:val="both"/>
        <w:pageBreakBefore w:val="0"/>
        <w:spacing w:before="0" w:after="0" w:line="500" w:lineRule="exact"/>
        <w:rPr>
          <w:rFonts w:hint="eastAsia" w:ascii="宋体" w:hAnsi="宋体" w:eastAsia="宋体" w:cs="宋体"/>
          <w:b w:val="0"/>
          <w:color w:val="auto"/>
          <w:sz w:val="24"/>
          <w:szCs w:val="24"/>
          <w:highlight w:val="none"/>
        </w:rPr>
        <w:outlineLvl w:val="9"/>
      </w:pPr>
      <w:r/>
      <w:bookmarkStart w:id="18" w:name="_Toc35393792"/>
      <w:r/>
      <w:bookmarkStart w:id="19" w:name="_Toc35393623"/>
      <w:r>
        <w:rPr>
          <w:rFonts w:hint="eastAsia" w:ascii="宋体" w:hAnsi="宋体" w:eastAsia="宋体" w:cs="宋体"/>
          <w:b w:val="0"/>
          <w:color w:val="auto"/>
          <w:sz w:val="24"/>
          <w:szCs w:val="24"/>
          <w:highlight w:val="none"/>
        </w:rPr>
        <w:t xml:space="preserve">三、获取招标文件</w:t>
      </w:r>
      <w:bookmarkEnd w:id="16"/>
      <w:r/>
      <w:bookmarkEnd w:id="17"/>
      <w:r/>
      <w:bookmarkEnd w:id="18"/>
      <w:r/>
      <w:bookmarkEnd w:id="19"/>
      <w:r>
        <w:rPr>
          <w:rFonts w:hint="eastAsia" w:ascii="宋体" w:hAnsi="宋体" w:eastAsia="宋体" w:cs="宋体"/>
          <w:b w:val="0"/>
          <w:color w:val="auto"/>
          <w:sz w:val="24"/>
          <w:szCs w:val="24"/>
          <w:highlight w:val="none"/>
        </w:rPr>
        <w:t xml:space="preserve">：</w:t>
      </w:r>
      <w:r/>
    </w:p>
    <w:p>
      <w:pPr>
        <w:ind w:firstLine="480"/>
        <w:jc w:val="both"/>
        <w:pageBreakBefore w:val="0"/>
        <w:spacing w:line="500" w:lineRule="exact"/>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val="en-US" w:eastAsia="zh-CN"/>
        </w:rPr>
        <w:t xml:space="preserve">2026年7月15日0:00-2026年7月22日0:00</w:t>
      </w:r>
      <w:r/>
    </w:p>
    <w:p>
      <w:pPr>
        <w:pStyle w:val="971"/>
        <w:ind w:firstLine="480"/>
        <w:jc w:val="both"/>
        <w:pageBreakBefore w:val="0"/>
        <w:spacing w:before="0" w:after="0" w:line="500" w:lineRule="exact"/>
        <w:rPr>
          <w:rFonts w:hint="eastAsia" w:ascii="宋体" w:hAnsi="宋体" w:eastAsia="宋体" w:cs="宋体"/>
          <w:b w:val="0"/>
          <w:bCs w:val="0"/>
          <w:color w:val="auto"/>
          <w:sz w:val="24"/>
          <w:szCs w:val="24"/>
          <w:highlight w:val="none"/>
        </w:rPr>
        <w:outlineLvl w:val="9"/>
      </w:pPr>
      <w:r/>
      <w:bookmarkStart w:id="20" w:name="_Toc28359082"/>
      <w:r/>
      <w:bookmarkStart w:id="21" w:name="_Toc28359005"/>
      <w:r/>
      <w:bookmarkStart w:id="22" w:name="_Toc35393793"/>
      <w:r/>
      <w:bookmarkStart w:id="23" w:name="_Toc35393624"/>
      <w:r>
        <w:rPr>
          <w:rFonts w:hint="eastAsia" w:ascii="宋体" w:hAnsi="宋体" w:eastAsia="宋体" w:cs="宋体"/>
          <w:b w:val="0"/>
          <w:bCs w:val="0"/>
          <w:color w:val="auto"/>
          <w:sz w:val="24"/>
          <w:szCs w:val="24"/>
          <w:highlight w:val="none"/>
        </w:rPr>
        <w:t xml:space="preserve">地点：江苏政府采购“苏采云”系统</w:t>
      </w:r>
      <w:r/>
    </w:p>
    <w:p>
      <w:pPr>
        <w:pStyle w:val="971"/>
        <w:ind w:firstLine="480"/>
        <w:jc w:val="both"/>
        <w:pageBreakBefore w:val="0"/>
        <w:spacing w:before="0" w:after="0" w:line="50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方式：供应商完成注册并办理CA证书后登录江苏政府采购“苏采云”系统下载本项目招标文件</w:t>
      </w:r>
      <w:r/>
    </w:p>
    <w:p>
      <w:pPr>
        <w:pStyle w:val="971"/>
        <w:ind w:firstLine="480"/>
        <w:jc w:val="both"/>
        <w:pageBreakBefore w:val="0"/>
        <w:spacing w:before="0" w:after="0" w:line="50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售价：0.00元</w:t>
      </w:r>
      <w:r/>
    </w:p>
    <w:p>
      <w:pPr>
        <w:pStyle w:val="971"/>
        <w:jc w:val="both"/>
        <w:pageBreakBefore w:val="0"/>
        <w:spacing w:before="0" w:after="0" w:line="500" w:lineRule="exact"/>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rPr>
        <w:t xml:space="preserve">四、提交投标文件</w:t>
      </w:r>
      <w:bookmarkEnd w:id="20"/>
      <w:r/>
      <w:bookmarkEnd w:id="21"/>
      <w:r>
        <w:rPr>
          <w:rFonts w:hint="eastAsia" w:ascii="宋体" w:hAnsi="宋体" w:eastAsia="宋体" w:cs="宋体"/>
          <w:b w:val="0"/>
          <w:color w:val="auto"/>
          <w:sz w:val="24"/>
          <w:szCs w:val="24"/>
          <w:highlight w:val="none"/>
        </w:rPr>
        <w:t xml:space="preserve">截止时间、开标时间和地点</w:t>
      </w:r>
      <w:bookmarkEnd w:id="22"/>
      <w:r/>
      <w:bookmarkEnd w:id="23"/>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日9点00分（北京时间）</w:t>
      </w:r>
      <w:r/>
    </w:p>
    <w:p>
      <w:pPr>
        <w:ind w:firstLine="480"/>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地点：江苏政府采购“苏采云”系统不见面开标大厅</w:t>
      </w:r>
      <w:r/>
    </w:p>
    <w:p>
      <w:pPr>
        <w:pStyle w:val="971"/>
        <w:jc w:val="both"/>
        <w:pageBreakBefore w:val="0"/>
        <w:spacing w:before="0" w:after="0" w:line="500" w:lineRule="exact"/>
        <w:rPr>
          <w:rFonts w:hint="eastAsia" w:ascii="宋体" w:hAnsi="宋体" w:eastAsia="宋体" w:cs="宋体"/>
          <w:b w:val="0"/>
          <w:color w:val="auto"/>
          <w:sz w:val="24"/>
          <w:szCs w:val="24"/>
          <w:highlight w:val="none"/>
        </w:rPr>
        <w:outlineLvl w:val="9"/>
      </w:pPr>
      <w:r/>
      <w:bookmarkStart w:id="24" w:name="_Toc35393625"/>
      <w:r/>
      <w:bookmarkStart w:id="25" w:name="_Toc28359007"/>
      <w:r/>
      <w:bookmarkStart w:id="26" w:name="_Toc28359084"/>
      <w:r/>
      <w:bookmarkStart w:id="27" w:name="_Toc35393794"/>
      <w:r>
        <w:rPr>
          <w:rFonts w:hint="eastAsia" w:ascii="宋体" w:hAnsi="宋体" w:eastAsia="宋体" w:cs="宋体"/>
          <w:b w:val="0"/>
          <w:color w:val="auto"/>
          <w:sz w:val="24"/>
          <w:szCs w:val="24"/>
          <w:highlight w:val="none"/>
        </w:rPr>
        <w:t xml:space="preserve">五、公告期限</w:t>
      </w:r>
      <w:bookmarkEnd w:id="24"/>
      <w:r/>
      <w:bookmarkEnd w:id="25"/>
      <w:r/>
      <w:bookmarkEnd w:id="26"/>
      <w:r/>
      <w:bookmarkEnd w:id="27"/>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自本公告发布之日起5个工作日。</w:t>
      </w:r>
      <w:r/>
    </w:p>
    <w:p>
      <w:pPr>
        <w:pStyle w:val="971"/>
        <w:jc w:val="both"/>
        <w:pageBreakBefore w:val="0"/>
        <w:spacing w:before="0" w:after="0" w:line="500" w:lineRule="exact"/>
        <w:rPr>
          <w:rFonts w:hint="eastAsia" w:ascii="宋体" w:hAnsi="宋体" w:eastAsia="宋体" w:cs="宋体"/>
          <w:b w:val="0"/>
          <w:color w:val="auto"/>
          <w:sz w:val="24"/>
          <w:szCs w:val="24"/>
          <w:highlight w:val="none"/>
        </w:rPr>
        <w:outlineLvl w:val="9"/>
      </w:pPr>
      <w:r/>
      <w:bookmarkStart w:id="28" w:name="_Toc35393795"/>
      <w:r/>
      <w:bookmarkStart w:id="29" w:name="_Toc35393626"/>
      <w:r>
        <w:rPr>
          <w:rFonts w:hint="eastAsia" w:ascii="宋体" w:hAnsi="宋体" w:eastAsia="宋体" w:cs="宋体"/>
          <w:b w:val="0"/>
          <w:color w:val="auto"/>
          <w:sz w:val="24"/>
          <w:szCs w:val="24"/>
          <w:highlight w:val="none"/>
        </w:rPr>
        <w:t xml:space="preserve">六、其他补充事宜</w:t>
      </w:r>
      <w:bookmarkEnd w:id="28"/>
      <w:r/>
      <w:bookmarkEnd w:id="29"/>
      <w:r/>
      <w:r/>
    </w:p>
    <w:p>
      <w:pPr>
        <w:ind w:firstLine="480"/>
        <w:jc w:val="both"/>
        <w:pageBreakBefore w:val="0"/>
        <w:spacing w:line="500" w:lineRule="exact"/>
        <w:widowControl w:val="off"/>
        <w:rPr>
          <w:rFonts w:hint="eastAsia" w:ascii="宋体" w:hAnsi="宋体" w:eastAsia="宋体" w:cs="宋体"/>
          <w:color w:val="auto"/>
          <w:sz w:val="24"/>
          <w:szCs w:val="24"/>
          <w:highlight w:val="none"/>
        </w:rPr>
        <w:outlineLvl w:val="9"/>
      </w:pPr>
      <w:r/>
      <w:bookmarkStart w:id="30" w:name="_Toc35393627"/>
      <w:r/>
      <w:bookmarkStart w:id="31" w:name="_Toc28359008"/>
      <w:r/>
      <w:bookmarkStart w:id="32" w:name="_Toc28359085"/>
      <w:r/>
      <w:bookmarkStart w:id="33" w:name="_Toc35393796"/>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.本项目采用网上注册登记方式。潜在投标人访问电子招标投标交易平台的网络地址和方法</w:t>
      </w:r>
      <w:r>
        <w:rPr>
          <w:rFonts w:hint="eastAsia" w:ascii="宋体" w:hAnsi="宋体" w:eastAsia="宋体" w:cs="宋体"/>
          <w:color w:val="auto"/>
          <w:sz w:val="24"/>
          <w:szCs w:val="24"/>
          <w:highlight w:val="none"/>
          <w:lang w:val="en-US" w:eastAsia="zh-CN"/>
        </w:rPr>
        <w:t xml:space="preserve">如下</w:t>
      </w:r>
      <w:r>
        <w:rPr>
          <w:rFonts w:hint="eastAsia" w:ascii="宋体" w:hAnsi="宋体" w:eastAsia="宋体" w:cs="宋体"/>
          <w:color w:val="auto"/>
          <w:sz w:val="24"/>
          <w:szCs w:val="24"/>
          <w:highlight w:val="none"/>
        </w:rPr>
        <w:t xml:space="preserve">：</w:t>
      </w:r>
      <w:r/>
    </w:p>
    <w:p>
      <w:pPr>
        <w:ind w:firstLine="480"/>
        <w:jc w:val="both"/>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（1）登录http://jszfcg.jsczt.cn/，点击“苏采云”进入系统。</w:t>
      </w:r>
      <w:r/>
    </w:p>
    <w:p>
      <w:pPr>
        <w:ind w:firstLine="480"/>
        <w:jc w:val="both"/>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（2）“CA数字证书”的获取：投标人需办理CA锁（原国信CA须更换新CA</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详见http://jsxcmm.com/help/gys.html）。投标客户端工具及投标人操作手册可访问江苏省政府采购网，“资料下载”进行下载《江苏省政府采购管理交易系统（苏采云）供应商操作手册及政府采购客户端》。</w:t>
      </w:r>
      <w:r/>
    </w:p>
    <w:p>
      <w:pPr>
        <w:ind w:firstLine="480"/>
        <w:jc w:val="both"/>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.采购代理机构将数据电文形式的招标文件加载至电子招标投标交易平台，供潜在投标人下载或者查阅。</w:t>
      </w:r>
      <w:r/>
    </w:p>
    <w:p>
      <w:pPr>
        <w:ind w:firstLine="480"/>
        <w:jc w:val="both"/>
        <w:pageBreakBefore w:val="0"/>
        <w:spacing w:line="500" w:lineRule="exact"/>
        <w:widowControl w:val="off"/>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.有关本次招标的事项若存在变动或修改，敬请及时关注“江苏政府采购网”发布的更正公告。</w:t>
      </w:r>
      <w:r/>
    </w:p>
    <w:p>
      <w:pPr>
        <w:pStyle w:val="971"/>
        <w:ind w:firstLine="480"/>
        <w:jc w:val="both"/>
        <w:keepLines w:val="0"/>
        <w:keepNext w:val="0"/>
        <w:pageBreakBefore w:val="0"/>
        <w:spacing w:before="0" w:after="0" w:line="500" w:lineRule="exact"/>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color w:val="auto"/>
          <w:sz w:val="24"/>
          <w:szCs w:val="24"/>
          <w:highlight w:val="none"/>
          <w:lang w:val="en-US" w:eastAsia="zh-CN"/>
        </w:rPr>
        <w:t xml:space="preserve">4</w:t>
      </w:r>
      <w:r>
        <w:rPr>
          <w:rFonts w:hint="eastAsia" w:ascii="宋体" w:hAnsi="宋体" w:eastAsia="宋体" w:cs="宋体"/>
          <w:b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在评标结束前，各投标人授权代表应保持手机畅通，以便及时澄清答疑。</w:t>
      </w:r>
      <w:r/>
    </w:p>
    <w:p>
      <w:pPr>
        <w:ind w:firstLine="480"/>
        <w:jc w:val="both"/>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.如潜在投标人未按上述要求操作，将自行承担所产生的风险。</w:t>
      </w:r>
      <w:r/>
    </w:p>
    <w:p>
      <w:pPr>
        <w:pStyle w:val="971"/>
        <w:jc w:val="both"/>
        <w:pageBreakBefore w:val="0"/>
        <w:spacing w:before="0" w:after="0" w:line="500" w:lineRule="exact"/>
        <w:rPr>
          <w:rFonts w:hint="eastAsia" w:ascii="宋体" w:hAnsi="宋体" w:eastAsia="宋体" w:cs="宋体"/>
          <w:b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七、对本次招标</w:t>
      </w:r>
      <w:r>
        <w:rPr>
          <w:rFonts w:hint="eastAsia" w:ascii="宋体" w:hAnsi="宋体" w:eastAsia="宋体" w:cs="宋体"/>
          <w:b w:val="0"/>
          <w:color w:val="auto"/>
          <w:sz w:val="24"/>
          <w:szCs w:val="24"/>
          <w:highlight w:val="none"/>
        </w:rPr>
        <w:t xml:space="preserve">提出询问，请按以下方式联系。</w:t>
      </w:r>
      <w:bookmarkEnd w:id="30"/>
      <w:r/>
      <w:bookmarkEnd w:id="31"/>
      <w:r/>
      <w:bookmarkEnd w:id="32"/>
      <w:r/>
      <w:bookmarkEnd w:id="33"/>
      <w:r/>
      <w:r/>
    </w:p>
    <w:p>
      <w:pPr>
        <w:ind w:firstLine="480"/>
        <w:jc w:val="both"/>
        <w:keepLines w:val="0"/>
        <w:keepNext w:val="0"/>
        <w:pageBreakBefore w:val="0"/>
        <w:spacing w:line="5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1.采购人信息</w:t>
      </w:r>
      <w:r/>
    </w:p>
    <w:p>
      <w:pPr>
        <w:ind w:firstLine="480"/>
        <w:jc w:val="both"/>
        <w:keepLines w:val="0"/>
        <w:keepNext w:val="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单位名称：</w:t>
      </w:r>
      <w:r>
        <w:rPr>
          <w:rFonts w:hint="eastAsia" w:ascii="宋体" w:hAnsi="宋体" w:eastAsia="宋体" w:cs="宋体"/>
          <w:bCs/>
          <w:color w:val="auto"/>
          <w:sz w:val="24"/>
          <w:szCs w:val="24"/>
          <w:highlight w:val="none"/>
        </w:rPr>
        <w:t xml:space="preserve">泰州市海陵区住房和城乡建设局</w:t>
      </w:r>
      <w:r/>
    </w:p>
    <w:p>
      <w:pPr>
        <w:ind w:firstLine="480"/>
        <w:jc w:val="both"/>
        <w:keepLines w:val="0"/>
        <w:keepNext w:val="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rPr>
        <w:t xml:space="preserve">泰州市海陵区迎春西路656号</w:t>
      </w:r>
      <w:r/>
    </w:p>
    <w:p>
      <w:pPr>
        <w:ind w:firstLine="480"/>
        <w:jc w:val="both"/>
        <w:keepLines w:val="0"/>
        <w:keepNext w:val="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徐女士</w:t>
      </w:r>
      <w:r>
        <w:rPr>
          <w:rFonts w:hint="eastAsia" w:ascii="宋体" w:hAnsi="宋体" w:eastAsia="宋体" w:cs="宋体"/>
          <w:color w:val="auto"/>
          <w:sz w:val="24"/>
          <w:szCs w:val="24"/>
          <w:highlight w:val="none"/>
        </w:rPr>
        <w:t xml:space="preserve">  </w:t>
      </w:r>
      <w:r/>
    </w:p>
    <w:p>
      <w:pPr>
        <w:ind w:firstLine="480"/>
        <w:jc w:val="both"/>
        <w:keepLines w:val="0"/>
        <w:keepNext w:val="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bookmarkStart w:id="34" w:name="_Toc28359009"/>
      <w:r/>
      <w:bookmarkStart w:id="35" w:name="_Toc28359086"/>
      <w:r>
        <w:rPr>
          <w:rFonts w:hint="eastAsia" w:ascii="宋体" w:hAnsi="宋体" w:eastAsia="宋体" w:cs="宋体"/>
          <w:color w:val="auto"/>
          <w:sz w:val="24"/>
          <w:szCs w:val="24"/>
          <w:highlight w:val="none"/>
          <w:lang w:val="en-US" w:eastAsia="zh-CN"/>
        </w:rPr>
        <w:t xml:space="preserve">0523-86689019</w:t>
      </w:r>
      <w:r/>
    </w:p>
    <w:p>
      <w:pPr>
        <w:ind w:firstLine="480"/>
        <w:jc w:val="both"/>
        <w:keepLines w:val="0"/>
        <w:keepNext w:val="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2.采购代理机构信息</w:t>
      </w:r>
      <w:bookmarkEnd w:id="34"/>
      <w:r/>
      <w:bookmarkEnd w:id="35"/>
      <w:r/>
      <w:r/>
    </w:p>
    <w:p>
      <w:pPr>
        <w:ind w:firstLine="480"/>
        <w:jc w:val="both"/>
        <w:keepLines w:val="0"/>
        <w:keepNext w:val="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单位名称：江苏建泰工程项目管理有限公司</w:t>
      </w:r>
      <w:r/>
    </w:p>
    <w:p>
      <w:pPr>
        <w:ind w:firstLine="480"/>
        <w:jc w:val="both"/>
        <w:keepLines w:val="0"/>
        <w:keepNext w:val="0"/>
        <w:pageBreakBefore w:val="0"/>
        <w:spacing w:line="5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单位地址：泰州市海陵区华润万象城双子塔东塔52楼5203室</w:t>
      </w:r>
      <w:r/>
    </w:p>
    <w:p>
      <w:pPr>
        <w:ind w:firstLine="480"/>
        <w:jc w:val="both"/>
        <w:keepLines w:val="0"/>
        <w:keepNext w:val="0"/>
        <w:pageBreakBefore w:val="0"/>
        <w:spacing w:line="50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周女士</w:t>
      </w:r>
      <w:r/>
    </w:p>
    <w:p>
      <w:pPr>
        <w:ind w:firstLine="480"/>
        <w:jc w:val="both"/>
        <w:keepLines w:val="0"/>
        <w:keepNext w:val="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bookmarkStart w:id="36" w:name="_Toc28359087"/>
      <w:r/>
      <w:bookmarkStart w:id="37" w:name="_Toc28359010"/>
      <w:r>
        <w:rPr>
          <w:rFonts w:hint="eastAsia" w:ascii="宋体" w:hAnsi="宋体" w:eastAsia="宋体" w:cs="宋体"/>
          <w:color w:val="auto"/>
          <w:sz w:val="24"/>
          <w:szCs w:val="24"/>
          <w:highlight w:val="none"/>
        </w:rPr>
        <w:t xml:space="preserve">0523-81908859</w:t>
      </w:r>
      <w:r/>
    </w:p>
    <w:p>
      <w:pPr>
        <w:ind w:firstLine="480"/>
        <w:jc w:val="both"/>
        <w:keepLines w:val="0"/>
        <w:keepNext w:val="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3.项目联系方式</w:t>
      </w:r>
      <w:bookmarkEnd w:id="36"/>
      <w:r/>
      <w:bookmarkEnd w:id="37"/>
      <w:r/>
      <w:r/>
    </w:p>
    <w:p>
      <w:pPr>
        <w:pStyle w:val="994"/>
        <w:ind w:firstLine="480"/>
        <w:jc w:val="both"/>
        <w:keepLines w:val="0"/>
        <w:keepNext w:val="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周女士</w:t>
      </w:r>
      <w:r/>
    </w:p>
    <w:p>
      <w:pPr>
        <w:pStyle w:val="994"/>
        <w:ind w:firstLine="480"/>
        <w:jc w:val="both"/>
        <w:keepLines w:val="0"/>
        <w:keepNext w:val="0"/>
        <w:pageBreakBefore w:val="0"/>
        <w:spacing w:line="500" w:lineRule="exact"/>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rPr>
        <w:t xml:space="preserve">电　话：0523-81908859</w:t>
      </w:r>
      <w:r/>
    </w:p>
    <w:p>
      <w:pPr>
        <w:pStyle w:val="994"/>
        <w:ind w:firstLine="520"/>
        <w:jc w:val="both"/>
        <w:keepLines w:val="0"/>
        <w:keepNext w:val="0"/>
        <w:pageBreakBefore w:val="0"/>
        <w:spacing w:line="520" w:lineRule="exact"/>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3"/>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line="500" w:lineRule="exact"/>
        <w:rPr>
          <w:rFonts w:hint="eastAsia" w:ascii="宋体" w:hAnsi="宋体" w:eastAsia="宋体" w:cs="宋体"/>
          <w:b/>
          <w:color w:val="auto"/>
          <w:spacing w:val="15"/>
          <w:sz w:val="32"/>
          <w:szCs w:val="32"/>
          <w:highlight w:val="none"/>
        </w:rPr>
        <w:outlineLvl w:val="9"/>
      </w:pPr>
      <w:r>
        <w:rPr>
          <w:rFonts w:hint="eastAsia" w:ascii="宋体" w:hAnsi="宋体" w:eastAsia="宋体" w:cs="宋体"/>
          <w:b/>
          <w:color w:val="auto"/>
          <w:spacing w:val="15"/>
          <w:sz w:val="32"/>
          <w:szCs w:val="32"/>
          <w:highlight w:val="none"/>
        </w:rPr>
        <w:t xml:space="preserve">第二章 投标人须知</w:t>
      </w:r>
      <w:bookmarkEnd w:id="2"/>
      <w:r/>
      <w:bookmarkEnd w:id="3"/>
      <w:r/>
      <w:r/>
    </w:p>
    <w:p>
      <w:pPr>
        <w:ind w:right="840"/>
        <w:jc w:val="center"/>
        <w:spacing w:line="360" w:lineRule="auto"/>
        <w:widowControl/>
        <w:rPr>
          <w:rFonts w:hint="eastAsia" w:ascii="宋体" w:hAnsi="宋体" w:eastAsia="宋体" w:cs="宋体"/>
          <w:b/>
          <w:color w:val="auto"/>
          <w:szCs w:val="22"/>
          <w:highlight w:val="none"/>
        </w:rPr>
      </w:pPr>
      <w:r>
        <w:rPr>
          <w:rFonts w:hint="eastAsia" w:ascii="宋体" w:hAnsi="宋体" w:eastAsia="宋体" w:cs="宋体"/>
          <w:b/>
          <w:color w:val="auto"/>
          <w:szCs w:val="22"/>
          <w:highlight w:val="none"/>
        </w:rPr>
        <w:t xml:space="preserve">    投标人须知前附表</w:t>
      </w:r>
      <w:r/>
    </w:p>
    <w:tbl>
      <w:tblPr>
        <w:tblStyle w:val="731"/>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633"/>
        <w:gridCol w:w="7395"/>
      </w:tblGrid>
      <w:tr>
        <w:trPr>
          <w:jc w:val="center"/>
          <w:trHeight w:val="570"/>
        </w:trPr>
        <w:tc>
          <w:tcPr>
            <w:tcW w:w="79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633"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739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r>
      <w:tr>
        <w:trPr>
          <w:jc w:val="center"/>
          <w:trHeight w:val="670"/>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395"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2026年城北污水处理厂污泥处置项目</w:t>
            </w:r>
            <w:r/>
          </w:p>
        </w:tc>
      </w:tr>
      <w:tr>
        <w:trPr>
          <w:jc w:val="center"/>
          <w:trHeight w:val="1204"/>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招标内容</w:t>
            </w:r>
            <w:r/>
          </w:p>
        </w:tc>
        <w:tc>
          <w:tcPr>
            <w:tcW w:w="7395" w:type="dxa"/>
            <w:vAlign w:val="center"/>
            <w:textDirection w:val="lrTb"/>
            <w:noWrap w:val="false"/>
          </w:tcPr>
          <w:p>
            <w:pPr>
              <w:ind w:right="0"/>
              <w:jc w:val="both"/>
              <w:keepLines w:val="0"/>
              <w:keepNext w:val="0"/>
              <w:pageBreakBefore w:val="0"/>
              <w:rPr>
                <w:rFonts w:hint="eastAsia" w:ascii="宋体" w:hAnsi="宋体" w:eastAsia="宋体" w:cs="宋体"/>
                <w:color w:val="auto"/>
                <w:szCs w:val="21"/>
                <w:highlight w:val="none"/>
                <w:lang w:eastAsia="zh-CN"/>
              </w:rPr>
            </w:pPr>
            <w:r>
              <w:rPr>
                <w:rFonts w:hint="eastAsia" w:ascii="宋体" w:hAnsi="宋体" w:eastAsia="宋体" w:cs="宋体"/>
                <w:color w:val="auto"/>
                <w:sz w:val="24"/>
                <w:szCs w:val="24"/>
                <w:highlight w:val="none"/>
              </w:rPr>
              <w:t xml:space="preserve">城北污水处理厂污泥处置服务项目，城镇污水处理污泥年产生量</w:t>
            </w:r>
            <w:r>
              <w:rPr>
                <w:rFonts w:hint="eastAsia" w:ascii="宋体" w:hAnsi="宋体" w:eastAsia="宋体" w:cs="宋体"/>
                <w:color w:val="auto"/>
                <w:sz w:val="24"/>
                <w:szCs w:val="24"/>
                <w:highlight w:val="none"/>
                <w:lang w:val="en-US" w:eastAsia="zh-CN"/>
              </w:rPr>
              <w:t xml:space="preserve">不高于</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000吨，污泥出厂含水率约75%-85%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产生的污泥为一般固废。具体要求详见招标文件。</w:t>
            </w:r>
            <w:r/>
          </w:p>
        </w:tc>
      </w:tr>
      <w:tr>
        <w:trPr>
          <w:jc w:val="center"/>
          <w:trHeight w:val="645"/>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w:t>
            </w:r>
            <w:r/>
          </w:p>
        </w:tc>
        <w:tc>
          <w:tcPr>
            <w:tcW w:w="7395"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2027年1月1日至2027年12月31日。</w:t>
            </w:r>
            <w:r/>
          </w:p>
        </w:tc>
      </w:tr>
      <w:tr>
        <w:trPr>
          <w:jc w:val="center"/>
          <w:trHeight w:val="1138"/>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最高投标限价</w:t>
            </w:r>
            <w:r/>
          </w:p>
        </w:tc>
        <w:tc>
          <w:tcPr>
            <w:tcW w:w="7395" w:type="dxa"/>
            <w:vAlign w:val="center"/>
            <w:textDirection w:val="lrTb"/>
            <w:noWrap w:val="false"/>
          </w:tcPr>
          <w:p>
            <w:pPr>
              <w:ind w:right="0"/>
              <w:jc w:val="both"/>
              <w:keepLines w:val="0"/>
              <w:keepNext w:val="0"/>
              <w:pageBreakBefore w:val="0"/>
              <w:rPr>
                <w:rFonts w:hint="eastAsia" w:ascii="宋体" w:hAnsi="宋体" w:eastAsia="宋体" w:cs="宋体"/>
                <w:color w:val="auto"/>
                <w:highlight w:val="none"/>
              </w:rPr>
            </w:pPr>
            <w:r>
              <w:rPr>
                <w:rFonts w:hint="eastAsia" w:ascii="宋体" w:hAnsi="宋体" w:eastAsia="宋体" w:cs="宋体"/>
                <w:b w:val="0"/>
                <w:bCs w:val="0"/>
                <w:iCs/>
                <w:color w:val="auto"/>
                <w:sz w:val="24"/>
                <w:szCs w:val="24"/>
                <w:highlight w:val="none"/>
                <w:lang w:val="en-US" w:eastAsia="zh-CN"/>
              </w:rPr>
              <w:t xml:space="preserve">最高单价限价为300元/吨，城镇污水处理污泥年产生量暂定25000吨/年，最高限价总价暂定750万元。</w:t>
            </w:r>
            <w:r>
              <w:rPr>
                <w:rFonts w:hint="eastAsia" w:ascii="宋体" w:hAnsi="宋体" w:eastAsia="宋体" w:cs="宋体"/>
                <w:iCs/>
                <w:color w:val="auto"/>
                <w:sz w:val="24"/>
                <w:szCs w:val="24"/>
                <w:highlight w:val="none"/>
                <w:lang w:val="en-US" w:eastAsia="zh-CN"/>
              </w:rPr>
              <w:t xml:space="preserve">各投标人的</w:t>
            </w:r>
            <w:r>
              <w:rPr>
                <w:rFonts w:hint="eastAsia" w:ascii="宋体" w:hAnsi="宋体" w:eastAsia="宋体" w:cs="宋体"/>
                <w:iCs/>
                <w:color w:val="auto"/>
                <w:sz w:val="24"/>
                <w:szCs w:val="24"/>
                <w:highlight w:val="none"/>
              </w:rPr>
              <w:t xml:space="preserve">投标报价不得超过招标文件规定的最高</w:t>
            </w:r>
            <w:r>
              <w:rPr>
                <w:rFonts w:hint="eastAsia" w:ascii="宋体" w:hAnsi="宋体" w:eastAsia="宋体" w:cs="宋体"/>
                <w:iCs/>
                <w:color w:val="auto"/>
                <w:sz w:val="24"/>
                <w:szCs w:val="24"/>
                <w:highlight w:val="none"/>
                <w:lang w:val="en-US" w:eastAsia="zh-CN"/>
              </w:rPr>
              <w:t xml:space="preserve">投标</w:t>
            </w:r>
            <w:r>
              <w:rPr>
                <w:rFonts w:hint="eastAsia" w:ascii="宋体" w:hAnsi="宋体" w:eastAsia="宋体" w:cs="宋体"/>
                <w:iCs/>
                <w:color w:val="auto"/>
                <w:sz w:val="24"/>
                <w:szCs w:val="24"/>
                <w:highlight w:val="none"/>
              </w:rPr>
              <w:t xml:space="preserve">限价，否则按无效投标文件处理。</w:t>
            </w:r>
            <w:r/>
          </w:p>
        </w:tc>
      </w:tr>
      <w:tr>
        <w:trPr>
          <w:jc w:val="center"/>
          <w:trHeight w:val="784"/>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合格投标人资格要求</w:t>
            </w:r>
            <w:r/>
          </w:p>
        </w:tc>
        <w:tc>
          <w:tcPr>
            <w:tcW w:w="7395" w:type="dxa"/>
            <w:vAlign w:val="center"/>
            <w:textDirection w:val="lrTb"/>
            <w:noWrap w:val="false"/>
          </w:tcPr>
          <w:p>
            <w:pPr>
              <w:ind w:right="0"/>
              <w:jc w:val="both"/>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详见招标公告</w:t>
            </w:r>
            <w:r/>
          </w:p>
        </w:tc>
      </w:tr>
      <w:tr>
        <w:trPr>
          <w:jc w:val="center"/>
          <w:trHeight w:val="84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联合体投标</w:t>
            </w:r>
            <w:r/>
          </w:p>
        </w:tc>
        <w:tc>
          <w:tcPr>
            <w:tcW w:w="7395"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不接受，招标文件中有关联合体的规定均不适用。</w:t>
            </w:r>
            <w:r/>
          </w:p>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 </w:t>
            </w:r>
            <w:r/>
          </w:p>
        </w:tc>
      </w:tr>
      <w:tr>
        <w:trPr>
          <w:jc w:val="center"/>
          <w:trHeight w:val="161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7395"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不组织，自行考察；如投标人需自行考察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费用自理。</w:t>
            </w:r>
            <w:r/>
          </w:p>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□组织，考察时间：/年/月/日/时</w:t>
            </w:r>
            <w:r/>
          </w:p>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集合地点：/</w:t>
            </w:r>
            <w:r/>
          </w:p>
          <w:p>
            <w:pPr>
              <w:ind w:right="0" w:firstLine="975"/>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tc>
      </w:tr>
      <w:tr>
        <w:trPr>
          <w:jc w:val="center"/>
          <w:trHeight w:val="99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投标答疑会</w:t>
            </w:r>
            <w:r/>
          </w:p>
        </w:tc>
        <w:tc>
          <w:tcPr>
            <w:tcW w:w="7395"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不召开</w:t>
            </w:r>
            <w:r/>
          </w:p>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口召开，召开时间：年月日时</w:t>
            </w:r>
            <w:r/>
          </w:p>
          <w:p>
            <w:pPr>
              <w:ind w:right="0" w:firstLine="975"/>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w:t>
            </w:r>
            <w:r/>
          </w:p>
        </w:tc>
      </w:tr>
      <w:tr>
        <w:trPr>
          <w:jc w:val="center"/>
          <w:trHeight w:val="506"/>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投标货币</w:t>
            </w:r>
            <w:r/>
          </w:p>
        </w:tc>
        <w:tc>
          <w:tcPr>
            <w:tcW w:w="7395"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r>
      <w:tr>
        <w:trPr>
          <w:jc w:val="center"/>
          <w:trHeight w:val="1225"/>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合同方式</w:t>
            </w:r>
            <w:r/>
          </w:p>
        </w:tc>
        <w:tc>
          <w:tcPr>
            <w:tcW w:w="7395" w:type="dxa"/>
            <w:vAlign w:val="center"/>
            <w:textDirection w:val="lrTb"/>
            <w:noWrap w:val="false"/>
          </w:tcPr>
          <w:p>
            <w:pPr>
              <w:ind w:right="0"/>
              <w:jc w:val="both"/>
              <w:keepLines w:val="0"/>
              <w:keepNext w:val="0"/>
              <w:pageBreakBefore w:val="0"/>
              <w:rPr>
                <w:rFonts w:hint="eastAsia" w:ascii="宋体" w:hAnsi="宋体" w:eastAsia="宋体" w:cs="宋体"/>
                <w:color w:val="auto"/>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固定单价合同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工程量按实结算。</w:t>
            </w:r>
            <w:r/>
          </w:p>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固定总价合同</w:t>
            </w:r>
            <w:r/>
          </w:p>
          <w:p>
            <w:pPr>
              <w:ind w:right="0"/>
              <w:jc w:val="both"/>
              <w:keepLines w:val="0"/>
              <w:keepNext w:val="0"/>
              <w:pageBreakBefore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lang w:eastAsia="zh-CN"/>
              </w:rPr>
              <w:t xml:space="preserve">：</w:t>
            </w:r>
            <w:r/>
          </w:p>
        </w:tc>
      </w:tr>
      <w:tr>
        <w:trPr>
          <w:jc w:val="center"/>
          <w:trHeight w:val="655"/>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p>
        </w:tc>
        <w:tc>
          <w:tcPr>
            <w:tcW w:w="7395" w:type="dxa"/>
            <w:vAlign w:val="center"/>
            <w:textDirection w:val="lrTb"/>
            <w:noWrap w:val="false"/>
          </w:tcPr>
          <w:p>
            <w:pPr>
              <w:ind w:right="0"/>
              <w:jc w:val="both"/>
              <w:keepLines w:val="0"/>
              <w:keepNext w:val="0"/>
              <w:pageBreakBefore w:val="0"/>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依据苏财购〔2020〕52号文件精神，本项目免收投标保证金。</w:t>
            </w:r>
            <w:r/>
          </w:p>
        </w:tc>
      </w:tr>
      <w:tr>
        <w:trPr>
          <w:jc w:val="center"/>
          <w:trHeight w:val="644"/>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投标文件有效期</w:t>
            </w:r>
            <w:r/>
          </w:p>
        </w:tc>
        <w:tc>
          <w:tcPr>
            <w:tcW w:w="7395"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日历天（从投标截止之日算起）</w:t>
            </w:r>
            <w:r/>
          </w:p>
        </w:tc>
      </w:tr>
      <w:tr>
        <w:trPr>
          <w:cantSplit/>
          <w:jc w:val="center"/>
          <w:trHeight w:val="665"/>
        </w:trPr>
        <w:tc>
          <w:tcPr>
            <w:tcW w:w="796"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w:t>
            </w:r>
            <w:r/>
          </w:p>
        </w:tc>
        <w:tc>
          <w:tcPr>
            <w:tcW w:w="7395"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auto"/>
                <w:sz w:val="24"/>
                <w:szCs w:val="24"/>
                <w:highlight w:val="none"/>
                <w:u w:val="single"/>
              </w:rPr>
              <w:t xml:space="preserve">202</w:t>
            </w:r>
            <w:r>
              <w:rPr>
                <w:rFonts w:hint="eastAsia" w:ascii="宋体" w:hAnsi="宋体" w:eastAsia="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8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5</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u w:val="single"/>
              </w:rPr>
              <w:t xml:space="preserve"> 9 </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u w:val="single"/>
              </w:rPr>
              <w:t xml:space="preserve"> 00 </w:t>
            </w:r>
            <w:r>
              <w:rPr>
                <w:rFonts w:hint="eastAsia" w:ascii="宋体" w:hAnsi="宋体" w:eastAsia="宋体" w:cs="宋体"/>
                <w:b/>
                <w:bCs/>
                <w:color w:val="auto"/>
                <w:sz w:val="24"/>
                <w:szCs w:val="24"/>
                <w:highlight w:val="none"/>
              </w:rPr>
              <w:t xml:space="preserve">分</w:t>
            </w:r>
            <w:r/>
          </w:p>
        </w:tc>
      </w:tr>
      <w:tr>
        <w:trPr>
          <w:cantSplit/>
          <w:jc w:val="center"/>
          <w:trHeight w:val="644"/>
        </w:trPr>
        <w:tc>
          <w:tcPr>
            <w:tcW w:w="796"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投标地点</w:t>
            </w:r>
            <w:r/>
          </w:p>
        </w:tc>
        <w:tc>
          <w:tcPr>
            <w:tcW w:w="7395"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 </w:t>
            </w:r>
            <w:r/>
          </w:p>
        </w:tc>
      </w:tr>
      <w:tr>
        <w:trPr>
          <w:jc w:val="center"/>
          <w:trHeight w:val="752"/>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开标时间和地点</w:t>
            </w:r>
            <w:r/>
          </w:p>
        </w:tc>
        <w:tc>
          <w:tcPr>
            <w:tcW w:w="7395"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auto"/>
                <w:sz w:val="24"/>
                <w:szCs w:val="24"/>
                <w:highlight w:val="none"/>
                <w:u w:val="single"/>
              </w:rPr>
              <w:t xml:space="preserve">202</w:t>
            </w:r>
            <w:r>
              <w:rPr>
                <w:rFonts w:hint="eastAsia" w:ascii="宋体" w:hAnsi="宋体" w:eastAsia="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8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5</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u w:val="single"/>
              </w:rPr>
              <w:t xml:space="preserve"> 9 </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u w:val="single"/>
              </w:rPr>
              <w:t xml:space="preserve"> 00 </w:t>
            </w:r>
            <w:r>
              <w:rPr>
                <w:rFonts w:hint="eastAsia" w:ascii="宋体" w:hAnsi="宋体" w:eastAsia="宋体" w:cs="宋体"/>
                <w:b/>
                <w:bCs/>
                <w:color w:val="auto"/>
                <w:sz w:val="24"/>
                <w:szCs w:val="24"/>
                <w:highlight w:val="none"/>
              </w:rPr>
              <w:t xml:space="preserve">分</w:t>
            </w:r>
            <w:r/>
          </w:p>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 </w:t>
            </w:r>
            <w:r/>
          </w:p>
        </w:tc>
      </w:tr>
      <w:tr>
        <w:trPr>
          <w:jc w:val="center"/>
          <w:trHeight w:val="817"/>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7395"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综合评分法</w:t>
            </w:r>
            <w:r>
              <w:rPr>
                <w:rFonts w:hint="eastAsia" w:ascii="宋体" w:hAnsi="宋体" w:eastAsia="宋体" w:cs="宋体"/>
                <w:color w:val="auto"/>
                <w:sz w:val="24"/>
                <w:szCs w:val="24"/>
                <w:highlight w:val="none"/>
                <w:lang w:val="en-US" w:eastAsia="zh-CN"/>
              </w:rPr>
              <w:t xml:space="preserve"> </w:t>
            </w:r>
            <w:r/>
          </w:p>
          <w:p>
            <w:pPr>
              <w:ind w:right="0"/>
              <w:jc w:val="both"/>
              <w:keepLines w:val="0"/>
              <w:keepNext w:val="0"/>
              <w:pageBreakBefore w:val="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最低评标价法  </w:t>
            </w:r>
            <w:r>
              <w:rPr>
                <w:rFonts w:hint="eastAsia" w:ascii="宋体" w:hAnsi="宋体" w:eastAsia="宋体" w:cs="宋体"/>
                <w:color w:val="auto"/>
                <w:sz w:val="24"/>
                <w:szCs w:val="24"/>
                <w:highlight w:val="none"/>
                <w:u w:val="single"/>
                <w:lang w:val="en-US" w:eastAsia="zh-CN"/>
              </w:rPr>
              <w:t xml:space="preserve">   </w:t>
            </w:r>
            <w:r/>
          </w:p>
        </w:tc>
      </w:tr>
      <w:tr>
        <w:trPr>
          <w:jc w:val="center"/>
          <w:trHeight w:val="66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定标办法</w:t>
            </w:r>
            <w:r/>
          </w:p>
        </w:tc>
        <w:tc>
          <w:tcPr>
            <w:tcW w:w="7395"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采购人根据评标委员会推荐的中标候选投标人顺序确定中标人。</w:t>
            </w:r>
            <w:r/>
          </w:p>
        </w:tc>
      </w:tr>
      <w:tr>
        <w:trPr>
          <w:jc w:val="center"/>
          <w:trHeight w:val="2319"/>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7395"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不提交，招标文件中有关履约保证金的规定均不适用</w:t>
            </w:r>
            <w:r/>
          </w:p>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提交</w:t>
            </w:r>
            <w:r/>
          </w:p>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w:t>
            </w:r>
            <w:r>
              <w:rPr>
                <w:rFonts w:hint="eastAsia" w:ascii="宋体" w:hAnsi="宋体" w:eastAsia="宋体" w:cs="宋体"/>
                <w:color w:val="auto"/>
                <w:sz w:val="24"/>
                <w:szCs w:val="24"/>
                <w:highlight w:val="none"/>
                <w:lang w:val="en-US" w:eastAsia="zh-CN"/>
              </w:rPr>
              <w:t xml:space="preserve">中标价的</w:t>
            </w:r>
            <w:r>
              <w:rPr>
                <w:rFonts w:hint="eastAsia" w:ascii="宋体" w:hAnsi="宋体" w:eastAsia="宋体" w:cs="宋体"/>
                <w:color w:val="auto"/>
                <w:sz w:val="24"/>
                <w:szCs w:val="24"/>
                <w:highlight w:val="none"/>
              </w:rPr>
              <w:t xml:space="preserve">10%计取。</w:t>
            </w:r>
            <w:r/>
          </w:p>
          <w:p>
            <w:pPr>
              <w:pStyle w:val="983"/>
              <w:ind w:right="0" w:firstLine="0"/>
              <w:jc w:val="both"/>
              <w:keepLines w:val="0"/>
              <w:keepNext w:val="0"/>
              <w:pageBreakBefore w:val="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形式：</w:t>
            </w:r>
            <w:r>
              <w:rPr>
                <w:rFonts w:hint="eastAsia" w:ascii="宋体" w:hAnsi="宋体" w:eastAsia="宋体" w:cs="宋体"/>
                <w:b w:val="0"/>
                <w:bCs w:val="0"/>
                <w:color w:val="auto"/>
                <w:sz w:val="24"/>
                <w:szCs w:val="24"/>
                <w:highlight w:val="none"/>
                <w:lang w:val="en-US" w:eastAsia="zh-CN" w:bidi="ar-SA"/>
              </w:rPr>
              <w:t xml:space="preserve">电汇、转账、支票、汇票、本票、保函</w:t>
            </w:r>
            <w:r>
              <w:rPr>
                <w:rFonts w:hint="eastAsia" w:ascii="宋体" w:hAnsi="宋体" w:eastAsia="宋体" w:cs="宋体"/>
                <w:color w:val="auto"/>
                <w:szCs w:val="24"/>
                <w:highlight w:val="none"/>
              </w:rPr>
              <w:t xml:space="preserve">等非现金形式</w:t>
            </w:r>
            <w:r/>
          </w:p>
          <w:p>
            <w:pPr>
              <w:pStyle w:val="983"/>
              <w:ind w:right="0" w:firstLine="0"/>
              <w:jc w:val="both"/>
              <w:keepLines w:val="0"/>
              <w:keepNext w:val="0"/>
              <w:pageBreakBefore w:val="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提交时间：收到中标通知书后签订合同前</w:t>
            </w:r>
            <w:r/>
          </w:p>
          <w:p>
            <w:pPr>
              <w:pStyle w:val="983"/>
              <w:ind w:right="0" w:firstLine="0"/>
              <w:jc w:val="both"/>
              <w:keepLines w:val="0"/>
              <w:keepNext w:val="0"/>
              <w:pageBreakBefore w:val="0"/>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退还时间：服务期满后退还（无息）</w:t>
            </w:r>
            <w:r/>
          </w:p>
        </w:tc>
      </w:tr>
      <w:tr>
        <w:trPr>
          <w:jc w:val="center"/>
          <w:trHeight w:val="882"/>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w:t>
            </w:r>
            <w:r/>
          </w:p>
        </w:tc>
        <w:tc>
          <w:tcPr>
            <w:tcW w:w="7395"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中标通知书发出之日起</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日内</w:t>
            </w:r>
            <w:r/>
          </w:p>
          <w:p>
            <w:pPr>
              <w:ind w:right="0"/>
              <w:jc w:val="both"/>
              <w:keepLines w:val="0"/>
              <w:keepNext w:val="0"/>
              <w:pageBreakBefore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签订合同地点：</w:t>
            </w:r>
            <w:r>
              <w:rPr>
                <w:rFonts w:hint="eastAsia" w:ascii="宋体" w:hAnsi="宋体" w:eastAsia="宋体" w:cs="宋体"/>
                <w:bCs/>
                <w:color w:val="auto"/>
                <w:sz w:val="24"/>
                <w:szCs w:val="24"/>
                <w:highlight w:val="none"/>
              </w:rPr>
              <w:t xml:space="preserve">泰州市海陵区住房和城乡建设局</w:t>
            </w:r>
            <w:r/>
          </w:p>
        </w:tc>
      </w:tr>
      <w:tr>
        <w:trPr>
          <w:jc w:val="center"/>
          <w:trHeight w:val="1152"/>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tc>
        <w:tc>
          <w:tcPr>
            <w:tcW w:w="7395" w:type="dxa"/>
            <w:vAlign w:val="center"/>
            <w:textDirection w:val="lrTb"/>
            <w:noWrap w:val="false"/>
          </w:tcPr>
          <w:p>
            <w:pPr>
              <w:pStyle w:val="983"/>
              <w:ind w:right="0" w:firstLine="0"/>
              <w:jc w:val="both"/>
              <w:keepLines w:val="0"/>
              <w:keepNext w:val="0"/>
              <w:pageBreakBefore w:val="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按实际处置数量乘以中标单价按每</w:t>
            </w:r>
            <w:r>
              <w:rPr>
                <w:rFonts w:hint="eastAsia" w:ascii="宋体" w:hAnsi="宋体" w:eastAsia="宋体" w:cs="宋体"/>
                <w:color w:val="auto"/>
                <w:szCs w:val="24"/>
                <w:highlight w:val="none"/>
                <w:lang w:val="en-US" w:eastAsia="zh-CN"/>
              </w:rPr>
              <w:t xml:space="preserve">三</w:t>
            </w:r>
            <w:r>
              <w:rPr>
                <w:rFonts w:hint="eastAsia" w:ascii="宋体" w:hAnsi="宋体" w:eastAsia="宋体" w:cs="宋体"/>
                <w:color w:val="auto"/>
                <w:szCs w:val="24"/>
                <w:highlight w:val="none"/>
              </w:rPr>
              <w:t xml:space="preserve">个月结算一次，减去每三个月扣除费用（如发生）进行结算。（所涉及款项皆不计取利息）</w:t>
            </w:r>
            <w:r/>
          </w:p>
          <w:p>
            <w:pPr>
              <w:pStyle w:val="983"/>
              <w:ind w:right="0" w:firstLine="0"/>
              <w:jc w:val="both"/>
              <w:keepLines w:val="0"/>
              <w:keepNext w:val="0"/>
              <w:pageBreakBefore w:val="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特别约定：具体付款时间节点财政部门另有要求的以财政部门要求为准。</w:t>
            </w:r>
            <w:r/>
          </w:p>
        </w:tc>
      </w:tr>
      <w:tr>
        <w:trPr>
          <w:jc w:val="center"/>
          <w:trHeight w:val="1214"/>
        </w:trPr>
        <w:tc>
          <w:tcPr>
            <w:tcW w:w="79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中标服务费</w:t>
            </w:r>
            <w:r/>
          </w:p>
        </w:tc>
        <w:tc>
          <w:tcPr>
            <w:tcW w:w="7395" w:type="dxa"/>
            <w:vAlign w:val="center"/>
            <w:textDirection w:val="lrTb"/>
            <w:noWrap w:val="false"/>
          </w:tcPr>
          <w:p>
            <w:pPr>
              <w:pStyle w:val="983"/>
              <w:ind w:left="0" w:right="0" w:firstLine="0"/>
              <w:jc w:val="both"/>
              <w:keepLines w:val="0"/>
              <w:keepNext w:val="0"/>
              <w:pageBreakBefore w:val="0"/>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招标代理费</w:t>
            </w:r>
            <w:r>
              <w:rPr>
                <w:rFonts w:hint="eastAsia" w:ascii="宋体" w:hAnsi="宋体" w:eastAsia="宋体" w:cs="宋体"/>
                <w:color w:val="auto"/>
                <w:sz w:val="24"/>
                <w:highlight w:val="none"/>
              </w:rPr>
              <w:t xml:space="preserve">按照</w:t>
            </w:r>
            <w:r>
              <w:rPr>
                <w:rFonts w:hint="eastAsia" w:ascii="宋体" w:hAnsi="宋体" w:eastAsia="宋体"/>
                <w:color w:val="000000" w:themeColor="text1"/>
                <w:szCs w:val="24"/>
                <w:highlight w:val="none"/>
                <w:lang w:val="en-US" w:eastAsia="zh-CN"/>
                <w14:textFill>
                  <w14:solidFill>
                    <w14:schemeClr w14:val="tx1"/>
                  </w14:solidFill>
                </w14:textFill>
              </w:rPr>
              <w:t xml:space="preserve">计价格[2002]1980号文件</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lang w:val="en-US" w:eastAsia="zh-CN"/>
              </w:rPr>
              <w:t xml:space="preserve">50</w:t>
            </w:r>
            <w:r>
              <w:rPr>
                <w:rFonts w:hint="eastAsia" w:ascii="宋体" w:hAnsi="宋体" w:eastAsia="宋体" w:cs="宋体"/>
                <w:color w:val="auto"/>
                <w:sz w:val="24"/>
                <w:highlight w:val="none"/>
              </w:rPr>
              <w:t xml:space="preserve">%计取</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上述费用考虑在本次投标报价中，由中标人在中标后领取中标通知书前缴纳给招标代理机构。</w:t>
            </w:r>
            <w:r/>
          </w:p>
        </w:tc>
      </w:tr>
      <w:tr>
        <w:trPr>
          <w:jc w:val="center"/>
          <w:trHeight w:val="746"/>
        </w:trPr>
        <w:tc>
          <w:tcPr>
            <w:tcW w:w="79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w:t>
            </w:r>
            <w:r/>
          </w:p>
        </w:tc>
        <w:tc>
          <w:tcPr>
            <w:tcW w:w="16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W w:w="7395" w:type="dxa"/>
            <w:vAlign w:val="center"/>
            <w:textDirection w:val="lrTb"/>
            <w:noWrap w:val="false"/>
          </w:tcPr>
          <w:p>
            <w:pPr>
              <w:pStyle w:val="983"/>
              <w:ind w:left="0" w:right="0" w:firstLine="0"/>
              <w:jc w:val="both"/>
              <w:keepLines w:val="0"/>
              <w:keepNext w:val="0"/>
              <w:pageBreakBefore w:val="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解释：本文件的解释权属于采购人（或代理机构）。</w:t>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3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3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firstLine="482"/>
        <w:jc w:val="both"/>
        <w:keepLines w:val="0"/>
        <w:keepNext w:val="0"/>
        <w:pageBreakBefore w:val="0"/>
        <w:spacing w:line="52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一、说明和释义</w:t>
      </w:r>
      <w:r/>
    </w:p>
    <w:p>
      <w:pPr>
        <w:ind w:left="0" w:firstLine="482"/>
        <w:jc w:val="both"/>
        <w:keepLines w:val="0"/>
        <w:keepNext w:val="0"/>
        <w:pageBreakBefore w:val="0"/>
        <w:spacing w:line="52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1.说明  </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1.1本招标文件仅适用于</w:t>
      </w:r>
      <w:r>
        <w:rPr>
          <w:rFonts w:hint="eastAsia" w:ascii="宋体" w:hAnsi="宋体" w:eastAsia="宋体" w:cs="宋体"/>
          <w:color w:val="auto"/>
          <w:szCs w:val="24"/>
          <w:highlight w:val="none"/>
          <w:u w:val="none"/>
        </w:rPr>
        <w:t xml:space="preserve">江苏</w:t>
      </w:r>
      <w:r>
        <w:rPr>
          <w:rFonts w:hint="eastAsia" w:ascii="宋体" w:hAnsi="宋体" w:eastAsia="宋体" w:cs="宋体"/>
          <w:color w:val="auto"/>
          <w:szCs w:val="24"/>
          <w:highlight w:val="none"/>
          <w:u w:val="none"/>
          <w:lang w:val="en-US" w:eastAsia="zh-CN"/>
        </w:rPr>
        <w:t xml:space="preserve">建泰工程项目管理</w:t>
      </w:r>
      <w:r>
        <w:rPr>
          <w:rFonts w:hint="eastAsia" w:ascii="宋体" w:hAnsi="宋体" w:eastAsia="宋体" w:cs="宋体"/>
          <w:color w:val="auto"/>
          <w:szCs w:val="24"/>
          <w:highlight w:val="none"/>
          <w:u w:val="none"/>
        </w:rPr>
        <w:t xml:space="preserve">有限公司</w:t>
      </w:r>
      <w:r>
        <w:rPr>
          <w:rFonts w:hint="eastAsia" w:ascii="宋体" w:hAnsi="宋体" w:eastAsia="宋体" w:cs="宋体"/>
          <w:color w:val="auto"/>
          <w:szCs w:val="24"/>
          <w:highlight w:val="none"/>
        </w:rPr>
        <w:t xml:space="preserve">组织的招标活动。</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1.2本次招标活动及因本次招标产生的合同受中国法律制约和保护。</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1.3本招标文件的解释权属于采购人（或代理机构）。</w:t>
      </w:r>
      <w:r/>
    </w:p>
    <w:p>
      <w:pPr>
        <w:ind w:left="0" w:firstLine="482"/>
        <w:jc w:val="both"/>
        <w:keepLines w:val="0"/>
        <w:keepNext w:val="0"/>
        <w:pageBreakBefore w:val="0"/>
        <w:spacing w:line="52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2.词语释义</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2.1采购人：指依法进行采购的国家机关、事业单位、团体组织。</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2.2供应商、投标人：指向采购人提供货物、工程或服务的法人、其他组织或者自然人，不包括其分公司。</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2.3采购代理机构：指依法接受采购人委托，从事货物、工程和服务等采购招标代理业务的社会中介机构。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2.4招标采购单位：采购人及采购代理机构的统称。</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2.5评标委员会：是指在招标投标和采购活动中，依法由采购人代表和有关技术、经济等方面的专家组建，负责对投标文件进行评审并提出评审意见的临时性权威机构。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2.6响应：投标人根据采购人或采购代理机构发售的招标文件，编制投标文件并按规定投标的行为。</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2.7知识产权：指专利权、商标权、著作权等无形财产专有权的统称。</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2.8天：日历天。</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2.9服务地点：合同中明确约定的乙方履行服务的最终地点。</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2.10不可抗力：不能预见、不能避免并且不能克服的客观情况。</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2.11实质性响应：满足有关本次采购标的、数量、质量、价款或者报酬、履行期限、履行地点和方式、违约责任和解决争议方法等要求。</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2.12书面形式：指书面文字、合同书、信件等可以有形地表现所载内容的形式。</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二、投标人</w:t>
      </w:r>
      <w:r/>
    </w:p>
    <w:p>
      <w:pPr>
        <w:numPr>
          <w:ilvl w:val="0"/>
          <w:numId w:val="0"/>
        </w:numPr>
        <w:ind w:left="0" w:firstLine="482"/>
        <w:jc w:val="both"/>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合格投标人资格要求</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3.1详见投标人须知前附表规定。</w:t>
      </w:r>
      <w:r/>
    </w:p>
    <w:p>
      <w:pPr>
        <w:ind w:left="0" w:firstLine="482"/>
        <w:jc w:val="both"/>
        <w:keepLines w:val="0"/>
        <w:keepNext w:val="0"/>
        <w:pageBreakBefore w:val="0"/>
        <w:spacing w:line="520" w:lineRule="exact"/>
        <w:rPr>
          <w:rFonts w:hint="eastAsia" w:ascii="宋体" w:hAnsi="宋体" w:eastAsia="宋体" w:cs="宋体"/>
          <w:bCs/>
          <w:color w:val="auto"/>
          <w:sz w:val="24"/>
          <w:szCs w:val="24"/>
          <w:highlight w:val="none"/>
        </w:rPr>
        <w:outlineLvl w:val="9"/>
      </w:pPr>
      <w:r>
        <w:rPr>
          <w:rFonts w:hint="eastAsia" w:ascii="宋体" w:hAnsi="宋体" w:eastAsia="宋体" w:cs="宋体"/>
          <w:b/>
          <w:bCs w:val="0"/>
          <w:color w:val="auto"/>
          <w:sz w:val="24"/>
          <w:szCs w:val="24"/>
          <w:highlight w:val="none"/>
        </w:rPr>
        <w:t xml:space="preserve">4.投标人应在江苏政府采购“苏采云”系统（http://jszfcg.jsczt.cn/下同）下载招标文件及有关资料，按招标文件要求提交全部资料并对招标文件各项内容做出实质性响应。</w:t>
      </w:r>
      <w:r/>
    </w:p>
    <w:p>
      <w:pPr>
        <w:numPr>
          <w:ilvl w:val="0"/>
          <w:numId w:val="0"/>
        </w:num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5</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投标人代表</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5.1指全权代表投标人参加投标活动并签署投标文件的人，如果投标人代表不是法人代表，须持有《法人代表授权委托书》（详见统一格式）。</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6.不接受联合体投标。</w:t>
      </w:r>
      <w:r/>
    </w:p>
    <w:p>
      <w:pPr>
        <w:ind w:left="0" w:firstLine="482"/>
        <w:jc w:val="both"/>
        <w:keepLines w:val="0"/>
        <w:keepNext w:val="0"/>
        <w:pageBreakBefore w:val="0"/>
        <w:spacing w:line="520" w:lineRule="exact"/>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7.投标人有下列情形之一的不能参加本次投标：</w:t>
      </w:r>
      <w:r/>
    </w:p>
    <w:p>
      <w:pPr>
        <w:ind w:left="0" w:firstLine="480"/>
        <w:jc w:val="both"/>
        <w:keepLines w:val="0"/>
        <w:keepNext w:val="0"/>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（1）因重大经济问题正在接受国家有关部门审查的；</w:t>
      </w:r>
      <w:r/>
    </w:p>
    <w:p>
      <w:pPr>
        <w:ind w:left="0" w:firstLine="480"/>
        <w:jc w:val="both"/>
        <w:keepLines w:val="0"/>
        <w:keepNext w:val="0"/>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（2）正在被其他企业兼并（或收购）或因重大经济纠纷正在进行诉讼或仲裁的；</w:t>
      </w:r>
      <w:r/>
    </w:p>
    <w:p>
      <w:pPr>
        <w:ind w:left="0" w:firstLine="480"/>
        <w:jc w:val="both"/>
        <w:keepLines w:val="0"/>
        <w:keepNext w:val="0"/>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（3）因腐败和欺诈行为而被有关部门处理的。</w:t>
      </w:r>
      <w:r/>
    </w:p>
    <w:p>
      <w:pPr>
        <w:ind w:left="0" w:firstLine="480"/>
        <w:jc w:val="both"/>
        <w:keepLines w:val="0"/>
        <w:keepNext w:val="0"/>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（4）被责令停业的； </w:t>
      </w:r>
      <w:r/>
    </w:p>
    <w:p>
      <w:pPr>
        <w:ind w:left="0" w:firstLine="480"/>
        <w:jc w:val="both"/>
        <w:keepLines w:val="0"/>
        <w:keepNext w:val="0"/>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（5）被暂停或取消投标资格的； </w:t>
      </w:r>
      <w:r/>
    </w:p>
    <w:p>
      <w:pPr>
        <w:ind w:left="0" w:firstLine="480"/>
        <w:jc w:val="both"/>
        <w:keepLines w:val="0"/>
        <w:keepNext w:val="0"/>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（6）财产被接管或冻结的；</w:t>
      </w:r>
      <w:r/>
    </w:p>
    <w:p>
      <w:pPr>
        <w:ind w:left="0" w:firstLine="480"/>
        <w:jc w:val="both"/>
        <w:keepLines w:val="0"/>
        <w:keepNext w:val="0"/>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（7）在最近三年内有骗取中标或严重违约或重大工程质量问题的；</w:t>
      </w:r>
      <w:r/>
    </w:p>
    <w:p>
      <w:pPr>
        <w:ind w:left="0" w:firstLine="480"/>
        <w:jc w:val="both"/>
        <w:keepLines w:val="0"/>
        <w:keepNext w:val="0"/>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（8）在投标过程中弄虚作假、行贿或有其他违法违规行为的；</w:t>
      </w:r>
      <w:r/>
    </w:p>
    <w:p>
      <w:pPr>
        <w:ind w:left="0" w:firstLine="480"/>
        <w:jc w:val="both"/>
        <w:keepLines w:val="0"/>
        <w:keepNext w:val="0"/>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（9）违反法律法规相关规定的。</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三、招标文件说明</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8</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招标文件</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9.现场考察 </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9.1投标人应按</w:t>
      </w:r>
      <w:r>
        <w:rPr>
          <w:rFonts w:hint="eastAsia" w:ascii="宋体" w:hAnsi="宋体" w:eastAsia="宋体" w:cs="宋体"/>
          <w:bCs/>
          <w:color w:val="auto"/>
          <w:sz w:val="24"/>
          <w:szCs w:val="24"/>
          <w:highlight w:val="none"/>
        </w:rPr>
        <w:t xml:space="preserve">招标文件中所述时间</w:t>
      </w:r>
      <w:r>
        <w:rPr>
          <w:rFonts w:hint="eastAsia" w:ascii="宋体" w:hAnsi="宋体" w:eastAsia="宋体" w:cs="宋体"/>
          <w:color w:val="auto"/>
          <w:sz w:val="24"/>
          <w:szCs w:val="24"/>
          <w:highlight w:val="none"/>
        </w:rPr>
        <w:t xml:space="preserve">对有关现场和周围环境进行</w:t>
      </w:r>
      <w:r>
        <w:rPr>
          <w:rFonts w:hint="eastAsia" w:ascii="宋体" w:hAnsi="宋体" w:eastAsia="宋体" w:cs="宋体"/>
          <w:color w:val="auto"/>
          <w:sz w:val="24"/>
          <w:szCs w:val="24"/>
          <w:highlight w:val="none"/>
          <w:lang w:val="en-US" w:eastAsia="zh-CN"/>
        </w:rPr>
        <w:t xml:space="preserve">认真充分的</w:t>
      </w:r>
      <w:r>
        <w:rPr>
          <w:rFonts w:hint="eastAsia" w:ascii="宋体" w:hAnsi="宋体" w:eastAsia="宋体" w:cs="宋体"/>
          <w:color w:val="auto"/>
          <w:sz w:val="24"/>
          <w:szCs w:val="24"/>
          <w:highlight w:val="none"/>
        </w:rPr>
        <w:t xml:space="preserve">考察，以获取编制投标文件和签署合同所需的信息。考察现场所发生的费用由投标人自己承担。</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9.3经招标采购单位允许，投标人可为考察目的进入招标采购单位的项目现场，但投标人不得因此使招标采购单位承担有关的责任和蒙受损失。投标人应承担考察现场的责任和风险。</w:t>
      </w:r>
      <w:r/>
    </w:p>
    <w:p>
      <w:pPr>
        <w:ind w:left="0" w:firstLine="480"/>
        <w:jc w:val="both"/>
        <w:keepLines w:val="0"/>
        <w:keepNext w:val="0"/>
        <w:pageBreakBefore w:val="0"/>
        <w:spacing w:line="52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做任何答复与考虑。</w:t>
      </w:r>
      <w:r/>
    </w:p>
    <w:p>
      <w:pPr>
        <w:ind w:left="0" w:firstLine="482"/>
        <w:jc w:val="both"/>
        <w:keepLines w:val="0"/>
        <w:keepNext w:val="0"/>
        <w:pageBreakBefore w:val="0"/>
        <w:spacing w:line="52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招标文件的澄清和修改</w:t>
      </w:r>
      <w:r/>
    </w:p>
    <w:p>
      <w:pPr>
        <w:ind w:left="0"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10.1投标人在购买招标文件后，若有问题需要询问和澄清，应于前附表规定的时间提出。</w:t>
      </w:r>
      <w:r/>
    </w:p>
    <w:p>
      <w:pPr>
        <w:ind w:left="0"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10.2如需召开投标答疑会的，招标采购单位将按前附表规定的时间、地点召开招标答疑会。</w:t>
      </w:r>
      <w:r/>
    </w:p>
    <w:p>
      <w:pPr>
        <w:ind w:left="0"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10.3迟于前附表规定时间的询问和提交的疑问，采购人和采购代理机构有权拒绝回答，也不承担由此带来的对投标人投标结果的影响。</w:t>
      </w:r>
      <w:r/>
    </w:p>
    <w:p>
      <w:pPr>
        <w:ind w:left="0"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left="0"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10.5为使投标人有足够的时间按招标文件的修改要求考虑修正投标文件，或出于其他原因，招标采购单位有权推迟投标截止日期和开标日期，将此变更通知所有招标文件的接收人。</w:t>
      </w:r>
      <w:r/>
    </w:p>
    <w:p>
      <w:pPr>
        <w:ind w:left="0"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10.6招标文件的更正（含澄清、修改等）内容与原招标文件在同一内容上表述不一致时，以发出日期最接近开标时间的公告为准。</w:t>
      </w:r>
      <w:r/>
    </w:p>
    <w:p>
      <w:pPr>
        <w:ind w:left="0"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10.7招标文件的更正（含澄清、修改等）内容将作为招标文件的组成部分，对投标人起约束作用。</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四、投标文件说明</w:t>
      </w:r>
      <w:r/>
    </w:p>
    <w:p>
      <w:pPr>
        <w:ind w:left="0" w:firstLine="482"/>
        <w:jc w:val="both"/>
        <w:keepLines w:val="0"/>
        <w:keepNext w:val="0"/>
        <w:pageBreakBefore w:val="0"/>
        <w:spacing w:line="52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投标文件计量单位和使用文字</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11.1投标文件中所使用的计量单位，除招标文件中有特殊要求外，均应使用中华人民共和国法定计量单位。</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pStyle w:val="994"/>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11.3投标人应当同时凭CA数字证书登录“江苏政府采购</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系统”，并在投标截止时间前上传电子投标文件。</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w:t>
      </w:r>
      <w:bookmarkStart w:id="38" w:name="_Toc217446047"/>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知识产权</w:t>
      </w:r>
      <w:bookmarkEnd w:id="38"/>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12.1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13</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投标文件的组成</w:t>
      </w:r>
      <w:r/>
    </w:p>
    <w:p>
      <w:pPr>
        <w:numPr>
          <w:ilvl w:val="0"/>
          <w:numId w:val="0"/>
        </w:numPr>
        <w:ind w:left="0" w:firstLine="480"/>
        <w:jc w:val="both"/>
        <w:keepLines w:val="0"/>
        <w:keepNext w:val="0"/>
        <w:pageBreakBefore w:val="0"/>
        <w:spacing w:line="520" w:lineRule="exact"/>
        <w:widowControl w:val="off"/>
        <w:tabs>
          <w:tab w:val="left" w:pos="525" w:leader="none"/>
          <w:tab w:val="left" w:pos="945"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1.投标函</w:t>
      </w:r>
      <w:r>
        <w:rPr>
          <w:rFonts w:hint="eastAsia" w:ascii="宋体" w:hAnsi="宋体" w:eastAsia="宋体" w:cs="宋体"/>
          <w:b/>
          <w:bCs/>
          <w:color w:val="auto"/>
          <w:sz w:val="24"/>
          <w:szCs w:val="24"/>
          <w:highlight w:val="none"/>
        </w:rPr>
        <w:t xml:space="preserve">（格式见附件）</w:t>
      </w:r>
      <w:r/>
    </w:p>
    <w:p>
      <w:pPr>
        <w:numPr>
          <w:ilvl w:val="0"/>
          <w:numId w:val="0"/>
        </w:numPr>
        <w:ind w:left="0" w:firstLine="480"/>
        <w:jc w:val="both"/>
        <w:keepLines w:val="0"/>
        <w:keepNext w:val="0"/>
        <w:pageBreakBefore w:val="0"/>
        <w:spacing w:line="520" w:lineRule="exact"/>
        <w:widowControl w:val="off"/>
        <w:tabs>
          <w:tab w:val="left" w:pos="525" w:leader="none"/>
          <w:tab w:val="left" w:pos="945"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2.资格、资信等证明文件：</w:t>
      </w:r>
      <w:r/>
    </w:p>
    <w:p>
      <w:pPr>
        <w:pStyle w:val="1090"/>
        <w:numPr>
          <w:ilvl w:val="1"/>
          <w:numId w:val="0"/>
        </w:numPr>
        <w:ind w:left="0" w:firstLine="480"/>
        <w:jc w:val="both"/>
        <w:keepLines w:val="0"/>
        <w:keepNext w:val="0"/>
        <w:pageBreakBefore w:val="0"/>
        <w:spacing w:line="520" w:lineRule="exact"/>
        <w:widowControl w:val="off"/>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p>
    <w:p>
      <w:pPr>
        <w:pStyle w:val="1090"/>
        <w:numPr>
          <w:ilvl w:val="1"/>
          <w:numId w:val="0"/>
        </w:numPr>
        <w:ind w:left="0" w:firstLine="480"/>
        <w:jc w:val="both"/>
        <w:keepLines w:val="0"/>
        <w:keepNext w:val="0"/>
        <w:pageBreakBefore w:val="0"/>
        <w:spacing w:line="520" w:lineRule="exact"/>
        <w:widowControl w:val="off"/>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（2）投标人法定代表人授权委托书（格式见附件，法定代表人亲自参加投标的提供法定代表人身份证扫描件）、投标人法定代表人授权代表身份证扫描件（法定代表人亲自参加投标的除外）；</w:t>
      </w:r>
      <w:r/>
    </w:p>
    <w:p>
      <w:pPr>
        <w:pStyle w:val="1090"/>
        <w:numPr>
          <w:ilvl w:val="1"/>
          <w:numId w:val="0"/>
        </w:numPr>
        <w:ind w:left="0" w:firstLine="480"/>
        <w:jc w:val="both"/>
        <w:keepLines w:val="0"/>
        <w:keepNext w:val="0"/>
        <w:pageBreakBefore w:val="0"/>
        <w:spacing w:line="520" w:lineRule="exact"/>
        <w:widowControl w:val="off"/>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具有独立承担民事责任的能力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法人或其他组织的营业执照或相关部门的登记证明文件扫描件； </w:t>
      </w:r>
      <w:r/>
    </w:p>
    <w:p>
      <w:pPr>
        <w:pStyle w:val="1090"/>
        <w:numPr>
          <w:ilvl w:val="1"/>
          <w:numId w:val="0"/>
        </w:numPr>
        <w:ind w:left="0" w:firstLine="480"/>
        <w:jc w:val="both"/>
        <w:keepLines w:val="0"/>
        <w:keepNext w:val="0"/>
        <w:pageBreakBefore w:val="0"/>
        <w:spacing w:line="520" w:lineRule="exact"/>
        <w:widowControl w:val="off"/>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具有良好的商业信誉和健全的财务会计制度</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提供投标人</w:t>
      </w:r>
      <w:r>
        <w:rPr>
          <w:rFonts w:hint="eastAsia" w:ascii="宋体" w:hAnsi="宋体" w:eastAsia="宋体" w:cs="宋体"/>
          <w:color w:val="auto"/>
          <w:sz w:val="24"/>
          <w:szCs w:val="24"/>
          <w:highlight w:val="none"/>
        </w:rPr>
        <w:t xml:space="preserve">近</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个月中任意一个月份（不含</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响应文件递交当月）的财务状况报告（资产负债表和利润表）或由会计师事务所出具的近两年中任意一个年度的审计报告复印件；其他组织、自然人及成立未满一年的法人应提供银行出具的资信证明；</w:t>
      </w:r>
      <w:r/>
    </w:p>
    <w:p>
      <w:pPr>
        <w:pStyle w:val="1090"/>
        <w:numPr>
          <w:ilvl w:val="1"/>
          <w:numId w:val="0"/>
        </w:numPr>
        <w:ind w:left="0" w:firstLine="480"/>
        <w:jc w:val="both"/>
        <w:keepLines w:val="0"/>
        <w:keepNext w:val="0"/>
        <w:pageBreakBefore w:val="0"/>
        <w:spacing w:line="520" w:lineRule="exact"/>
        <w:widowControl w:val="off"/>
        <w:tabs>
          <w:tab w:val="left" w:pos="1276"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有依法缴纳税收和社会保障资金的良好记录</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投标人近六</w:t>
      </w:r>
      <w:r>
        <w:rPr>
          <w:rFonts w:hint="eastAsia" w:ascii="宋体" w:hAnsi="宋体" w:eastAsia="宋体" w:cs="宋体"/>
          <w:color w:val="auto"/>
          <w:sz w:val="24"/>
          <w:szCs w:val="24"/>
          <w:highlight w:val="none"/>
        </w:rPr>
        <w:t xml:space="preserve">个月中任意一个月份（不含</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响应文件递交当月）依法缴纳税收及缴纳社会保障资金的证明材料。</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依法享受缓缴、免缴税收、社会保障资金的提供证明材料</w:t>
      </w:r>
      <w:r>
        <w:rPr>
          <w:rFonts w:hint="eastAsia" w:ascii="宋体" w:hAnsi="宋体" w:eastAsia="宋体" w:cs="宋体"/>
          <w:color w:val="auto"/>
          <w:sz w:val="24"/>
          <w:szCs w:val="24"/>
          <w:highlight w:val="none"/>
          <w:lang w:eastAsia="zh-CN"/>
        </w:rPr>
        <w:t xml:space="preserve">，企业成立不满一个月的可不提供。</w:t>
      </w:r>
      <w:r/>
    </w:p>
    <w:p>
      <w:pPr>
        <w:pStyle w:val="1090"/>
        <w:numPr>
          <w:ilvl w:val="1"/>
          <w:numId w:val="0"/>
        </w:numPr>
        <w:ind w:left="0" w:firstLine="480"/>
        <w:jc w:val="both"/>
        <w:keepLines w:val="0"/>
        <w:keepNext w:val="0"/>
        <w:pageBreakBefore w:val="0"/>
        <w:spacing w:line="520" w:lineRule="exact"/>
        <w:widowControl w:val="off"/>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）具备履行合同所必需的设备和专业技术能力的书面声明</w:t>
      </w:r>
      <w:r>
        <w:rPr>
          <w:rFonts w:hint="eastAsia" w:ascii="宋体" w:hAnsi="宋体" w:eastAsia="宋体" w:cs="宋体"/>
          <w:b/>
          <w:bCs/>
          <w:color w:val="auto"/>
          <w:sz w:val="24"/>
          <w:szCs w:val="24"/>
          <w:highlight w:val="none"/>
        </w:rPr>
        <w:t xml:space="preserve">（格式</w:t>
      </w:r>
      <w:r>
        <w:rPr>
          <w:rFonts w:hint="eastAsia" w:ascii="宋体" w:hAnsi="宋体" w:eastAsia="宋体" w:cs="宋体"/>
          <w:b/>
          <w:bCs/>
          <w:color w:val="auto"/>
          <w:sz w:val="24"/>
          <w:szCs w:val="24"/>
          <w:highlight w:val="none"/>
          <w:lang w:val="en-US" w:eastAsia="zh-CN"/>
        </w:rPr>
        <w:t xml:space="preserve">自拟</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pStyle w:val="1090"/>
        <w:numPr>
          <w:ilvl w:val="1"/>
          <w:numId w:val="0"/>
        </w:numPr>
        <w:ind w:left="0" w:firstLine="480"/>
        <w:jc w:val="both"/>
        <w:keepLines w:val="0"/>
        <w:keepNext w:val="0"/>
        <w:pageBreakBefore w:val="0"/>
        <w:spacing w:line="520" w:lineRule="exact"/>
        <w:widowControl w:val="off"/>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）参加政府采购活动前3年内在经营活动中没有重大违法记录的书面声明</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pStyle w:val="1090"/>
        <w:numPr>
          <w:ilvl w:val="1"/>
          <w:numId w:val="0"/>
        </w:numPr>
        <w:ind w:left="0" w:firstLine="480"/>
        <w:jc w:val="both"/>
        <w:keepLines w:val="0"/>
        <w:keepNext w:val="0"/>
        <w:pageBreakBefore w:val="0"/>
        <w:spacing w:line="520" w:lineRule="exact"/>
        <w:widowControl w:val="off"/>
        <w:tabs>
          <w:tab w:val="left" w:pos="1276" w:leader="none"/>
        </w:tabs>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提供具备污泥处置能力的环评批复及排污许可证（污泥处置能力包括处置方式、处置量以及污泥含水率满足本项目要求，如提供的上述文件不能体现处置能力，须另外提供行政主管部门证明文件）；</w:t>
      </w:r>
      <w:r/>
    </w:p>
    <w:p>
      <w:pPr>
        <w:pStyle w:val="1090"/>
        <w:numPr>
          <w:ilvl w:val="1"/>
          <w:numId w:val="0"/>
        </w:numPr>
        <w:ind w:left="0" w:firstLine="480"/>
        <w:jc w:val="both"/>
        <w:keepLines w:val="0"/>
        <w:keepNext w:val="0"/>
        <w:pageBreakBefore w:val="0"/>
        <w:spacing w:line="520" w:lineRule="exact"/>
        <w:widowControl w:val="off"/>
        <w:tabs>
          <w:tab w:val="left" w:pos="1276"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中小企业声明函或残疾人福利性单位声明函或监狱企业的证明资料</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各投标人视情况自行决定是否提供</w:t>
      </w: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highlight w:val="none"/>
        </w:rPr>
        <w:t xml:space="preserve">（</w:t>
      </w:r>
      <w:r>
        <w:rPr>
          <w:rFonts w:hint="eastAsia" w:ascii="宋体" w:hAnsi="宋体" w:eastAsia="宋体" w:cs="宋体"/>
          <w:b/>
          <w:bCs/>
          <w:color w:val="auto"/>
          <w:sz w:val="24"/>
          <w:highlight w:val="none"/>
        </w:rPr>
        <w:t xml:space="preserve">格式见附件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p>
    <w:p>
      <w:pPr>
        <w:pStyle w:val="1090"/>
        <w:numPr>
          <w:ilvl w:val="1"/>
          <w:numId w:val="0"/>
        </w:numPr>
        <w:ind w:left="0" w:firstLine="480"/>
        <w:jc w:val="both"/>
        <w:keepLines w:val="0"/>
        <w:keepNext w:val="0"/>
        <w:pageBreakBefore w:val="0"/>
        <w:spacing w:line="520" w:lineRule="exact"/>
        <w:widowControl w:val="off"/>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承诺书（格式见附件）。</w:t>
      </w:r>
      <w:r/>
    </w:p>
    <w:p>
      <w:pPr>
        <w:pStyle w:val="1090"/>
        <w:numPr>
          <w:ilvl w:val="1"/>
          <w:numId w:val="0"/>
        </w:numPr>
        <w:ind w:left="0" w:firstLine="480"/>
        <w:jc w:val="both"/>
        <w:keepLines w:val="0"/>
        <w:keepNext w:val="0"/>
        <w:pageBreakBefore w:val="0"/>
        <w:spacing w:line="520" w:lineRule="exact"/>
        <w:widowControl w:val="off"/>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3.开标一览表（格式见附件）</w:t>
      </w:r>
      <w:r/>
    </w:p>
    <w:p>
      <w:pPr>
        <w:numPr>
          <w:ilvl w:val="0"/>
          <w:numId w:val="0"/>
        </w:numPr>
        <w:ind w:left="0" w:firstLine="480"/>
        <w:jc w:val="both"/>
        <w:keepLines w:val="0"/>
        <w:keepNext w:val="0"/>
        <w:pageBreakBefore w:val="0"/>
        <w:spacing w:line="520" w:lineRule="exact"/>
        <w:widowControl w:val="off"/>
        <w:tabs>
          <w:tab w:val="left" w:pos="525" w:leader="none"/>
          <w:tab w:val="left" w:pos="945"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4.投标报价明细表（格式见附件）</w:t>
      </w:r>
      <w:r/>
    </w:p>
    <w:p>
      <w:pPr>
        <w:numPr>
          <w:ilvl w:val="0"/>
          <w:numId w:val="0"/>
        </w:numPr>
        <w:ind w:left="0" w:firstLine="480"/>
        <w:jc w:val="both"/>
        <w:keepLines w:val="0"/>
        <w:keepNext w:val="0"/>
        <w:pageBreakBefore w:val="0"/>
        <w:spacing w:line="520" w:lineRule="exact"/>
        <w:widowControl w:val="off"/>
        <w:tabs>
          <w:tab w:val="left" w:pos="525" w:leader="none"/>
          <w:tab w:val="left" w:pos="945"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5.商务偏离表（格式见附件）</w:t>
      </w:r>
      <w:r/>
    </w:p>
    <w:p>
      <w:pPr>
        <w:numPr>
          <w:ilvl w:val="0"/>
          <w:numId w:val="0"/>
        </w:numPr>
        <w:ind w:left="0" w:firstLine="480"/>
        <w:jc w:val="both"/>
        <w:keepLines w:val="0"/>
        <w:keepNext w:val="0"/>
        <w:pageBreakBefore w:val="0"/>
        <w:spacing w:line="520" w:lineRule="exact"/>
        <w:widowControl w:val="off"/>
        <w:tabs>
          <w:tab w:val="left" w:pos="525" w:leader="none"/>
          <w:tab w:val="left" w:pos="945"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6.技术偏离表（格式见附件）</w:t>
      </w:r>
      <w:r/>
    </w:p>
    <w:p>
      <w:pPr>
        <w:numPr>
          <w:ilvl w:val="0"/>
          <w:numId w:val="0"/>
        </w:numPr>
        <w:ind w:left="0" w:firstLine="480"/>
        <w:jc w:val="both"/>
        <w:keepLines w:val="0"/>
        <w:keepNext w:val="0"/>
        <w:pageBreakBefore w:val="0"/>
        <w:spacing w:line="520" w:lineRule="exact"/>
        <w:widowControl w:val="off"/>
        <w:tabs>
          <w:tab w:val="left" w:pos="525" w:leader="none"/>
          <w:tab w:val="left" w:pos="945"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.评分标准中对应的其他所需证明材料（如有自行添加）</w:t>
      </w:r>
      <w:r/>
    </w:p>
    <w:p>
      <w:pPr>
        <w:numPr>
          <w:ilvl w:val="0"/>
          <w:numId w:val="0"/>
        </w:numPr>
        <w:ind w:left="0" w:firstLine="480"/>
        <w:jc w:val="both"/>
        <w:keepLines w:val="0"/>
        <w:keepNext w:val="0"/>
        <w:pageBreakBefore w:val="0"/>
        <w:spacing w:line="520" w:lineRule="exact"/>
        <w:widowControl w:val="off"/>
        <w:tabs>
          <w:tab w:val="left" w:pos="525" w:leader="none"/>
          <w:tab w:val="left" w:pos="945"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.其他（投标人认为有必要提供的声明和文件，如有自拟并自行添加）</w:t>
      </w:r>
      <w:r/>
    </w:p>
    <w:p>
      <w:pPr>
        <w:ind w:left="0" w:firstLine="480"/>
        <w:jc w:val="both"/>
        <w:keepLines w:val="0"/>
        <w:keepNext w:val="0"/>
        <w:pageBreakBefore w:val="0"/>
        <w:spacing w:line="520" w:lineRule="exact"/>
        <w:widowControl w:val="off"/>
        <w:tabs>
          <w:tab w:val="left" w:pos="2850" w:leader="none"/>
          <w:tab w:val="center" w:pos="4153" w:leader="none"/>
        </w:tabs>
        <w:rPr>
          <w:rFonts w:hint="eastAsia" w:ascii="宋体" w:hAnsi="宋体" w:eastAsia="宋体" w:cs="宋体"/>
          <w:b/>
          <w:color w:val="auto"/>
          <w:sz w:val="24"/>
          <w:highlight w:val="none"/>
          <w:u w:val="single"/>
        </w:rPr>
        <w:outlineLvl w:val="9"/>
      </w:pPr>
      <w:r>
        <w:rPr>
          <w:rFonts w:hint="eastAsia" w:ascii="宋体" w:hAnsi="宋体" w:eastAsia="宋体" w:cs="宋体"/>
          <w:color w:val="auto"/>
          <w:sz w:val="24"/>
          <w:szCs w:val="24"/>
          <w:highlight w:val="none"/>
        </w:rPr>
        <w:t xml:space="preserve">上述1-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项投标人必须按要求全部提供，否则投标文件无效。如上述资格证明文件遇年检、换证，则必须提供法定年检、换证单位出具的有效证明扫描件。如上述资格证明文件第（4）（5）</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14</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投标文件编制及递交要求</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14.1所有文件、往来函件均应使用简体中文（规格、型号辅助符号例外）。</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14.2投标文件由投标人按要求参考给定格式如实填写（编写），须有投标人（盖章）、法定代表人或法定代表人授权代表签字或盖章，方为有效，未尽事宜可自行补充。</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14.3如无特别说明，投标人报价一律以人民币为投标结算货币，结算单位为“元”。</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14.4投标文件不应有涂改、增删和潦草之处，如有必须修改时，修改处必须有投标人盖章、法定代表人或法定代表人授权代表的签字。</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14.5投标费用自理。</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14.6投标人应当同时凭CA数字证书登录“江苏政府采购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系统”，并在投标截止时间前上传电子投标文件。</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15</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投标报价（编制）要求的说明</w:t>
      </w:r>
      <w:r/>
    </w:p>
    <w:p>
      <w:pPr>
        <w:pStyle w:val="983"/>
        <w:ind w:left="0" w:firstLine="480"/>
        <w:jc w:val="both"/>
        <w:keepLines w:val="0"/>
        <w:keepNext w:val="0"/>
        <w:pageBreakBefore w:val="0"/>
        <w:spacing w:line="520" w:lineRule="exact"/>
        <w:widowControl w:val="off"/>
        <w:rPr>
          <w:rFonts w:hint="eastAsia" w:ascii="宋体" w:hAnsi="宋体" w:eastAsia="宋体" w:cs="宋体"/>
          <w:b/>
          <w:bCs/>
          <w:color w:val="auto"/>
          <w:szCs w:val="24"/>
          <w:highlight w:val="none"/>
        </w:rPr>
        <w:outlineLvl w:val="9"/>
      </w:pPr>
      <w:r>
        <w:rPr>
          <w:rFonts w:hint="eastAsia" w:ascii="宋体" w:hAnsi="宋体" w:eastAsia="宋体" w:cs="宋体"/>
          <w:color w:val="auto"/>
          <w:szCs w:val="24"/>
          <w:highlight w:val="none"/>
        </w:rPr>
        <w:t xml:space="preserve">15.1投标人对《开标一览表》中的全部服务的报价应包括在本项目合同期内所需要全部费用，包括所需要的污泥运输和处理处置费、装卸费、道路清扫费、人工费、机械费、管理费、保险、各项规费、利润、各项税费、有关文件规定的政策性调价等完成本项目所涉及的全部费用。</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15.2投标人应对招标文件内所要采购的全部内容进行报价，只投其中部分内容者，其标书将被拒绝。</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15.3一项投标内容只允许一个报价，采购单位不接受任何有选择性的投标报价。</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15.4投标文件报价中的单价和总价全部采用人民币表示，除非合同的特殊条款另有规定。</w:t>
      </w:r>
      <w:r/>
    </w:p>
    <w:p>
      <w:pPr>
        <w:numPr>
          <w:ilvl w:val="0"/>
          <w:numId w:val="0"/>
        </w:num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16.投标保证金</w:t>
      </w:r>
      <w:r/>
    </w:p>
    <w:p>
      <w:pPr>
        <w:pStyle w:val="972"/>
        <w:ind w:left="0" w:firstLine="480"/>
        <w:jc w:val="both"/>
        <w:keepLines w:val="0"/>
        <w:keepNext w:val="0"/>
        <w:pageBreakBefore w:val="0"/>
        <w:spacing w:before="0" w:after="0" w:line="520" w:lineRule="exact"/>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依据苏财购</w:t>
      </w:r>
      <w:r>
        <w:rPr>
          <w:rFonts w:hint="eastAsia" w:ascii="宋体" w:hAnsi="宋体" w:eastAsia="宋体" w:cs="宋体"/>
          <w:color w:val="auto"/>
          <w:sz w:val="24"/>
          <w:szCs w:val="24"/>
          <w:highlight w:val="none"/>
        </w:rPr>
        <w:t xml:space="preserve">〔2020〕</w:t>
      </w:r>
      <w:r>
        <w:rPr>
          <w:rFonts w:hint="eastAsia" w:ascii="宋体" w:hAnsi="宋体" w:eastAsia="宋体" w:cs="宋体"/>
          <w:b w:val="0"/>
          <w:bCs w:val="0"/>
          <w:color w:val="auto"/>
          <w:sz w:val="24"/>
          <w:szCs w:val="24"/>
          <w:highlight w:val="none"/>
        </w:rPr>
        <w:t xml:space="preserve">52号文件精神，本项目免收投标保证金。 </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17</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投标文件的有效期</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17.1在本招标文件前附表规定的投标文件有效期内，投标人所提交的投标文件应保持有效。有效期短于这个规定期限的投标文件，将被认定为未实质性响应招标文件要求。</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18</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投标文件的拒收</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采购人拒绝接收在其规定的投标截止时间后上传的任何投标文件。</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五、投标文件的递交</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19.投标文件的递交</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19.1电子投标文件的递交</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投标人应当按照《江苏省政府采购管理交易系统（苏采云）供应商操作手册及政府采购客户端》规定，在投标截止时间前制作并上传电子投标文件。</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20</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投标截止日期</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20.2采购人可以按照规定，通过修改招标文件酌情延长投标截止日期，在此情况下，投标人的所有权利和义务以及投标人受制的截止日期均应以延长后新的截止日期为准。</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投标文件的修改和撤回</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21.1投标文件的撤回</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投标人可在投标截止时间前，撤回其电子投标文件，具体操作方法见《江苏省政府采购管理交易系统（苏采云）供应商操作手册及政府采购客户端》。</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21.2 投标文件的修改</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投标人可在投标截止时间前，对其电子投标文件进行修改，具体操作方法见《江苏省政府采购管理交易系统（苏采云）供应商操作手册及政府采购客户端》。</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21.3在投标截止时间之后，投标人不得对其电子投标文件作任何修改。</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六、开标和评标</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22</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开标</w:t>
      </w:r>
      <w:r/>
    </w:p>
    <w:p>
      <w:pPr>
        <w:ind w:left="0" w:firstLine="480"/>
        <w:jc w:val="both"/>
        <w:keepLines w:val="0"/>
        <w:keepNext w:val="0"/>
        <w:pageBreakBefore w:val="0"/>
        <w:spacing w:line="520" w:lineRule="exact"/>
        <w:widowControl w:val="off"/>
        <w:tabs>
          <w:tab w:val="center" w:pos="44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22.1采购人将在招标公告中规定的时间和地点组织公开开标。投标人应当按照《江苏省政府采购管理交易系统（苏采云）供应商操作手册及政府采购客户端》规定，参加开标活动。</w:t>
      </w:r>
      <w:r/>
    </w:p>
    <w:p>
      <w:pPr>
        <w:ind w:left="0" w:firstLine="480"/>
        <w:jc w:val="both"/>
        <w:keepLines w:val="0"/>
        <w:keepNext w:val="0"/>
        <w:pageBreakBefore w:val="0"/>
        <w:spacing w:line="520" w:lineRule="exact"/>
        <w:widowControl w:val="off"/>
        <w:tabs>
          <w:tab w:val="center" w:pos="44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22.2开标仪式由采购代理机构组织。“江苏政府采购“苏采云”系统”将自动对项目进行开标，并宣读各投标人的《开标一览表》。</w:t>
      </w:r>
      <w:r/>
    </w:p>
    <w:p>
      <w:pPr>
        <w:ind w:left="0" w:firstLine="480"/>
        <w:jc w:val="both"/>
        <w:keepLines w:val="0"/>
        <w:keepNext w:val="0"/>
        <w:pageBreakBefore w:val="0"/>
        <w:spacing w:line="520" w:lineRule="exact"/>
        <w:widowControl w:val="off"/>
        <w:tabs>
          <w:tab w:val="center" w:pos="44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left="0" w:firstLine="480"/>
        <w:jc w:val="both"/>
        <w:keepLines w:val="0"/>
        <w:keepNext w:val="0"/>
        <w:pageBreakBefore w:val="0"/>
        <w:spacing w:line="520" w:lineRule="exact"/>
        <w:widowControl w:val="off"/>
        <w:tabs>
          <w:tab w:val="center" w:pos="44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r/>
    </w:p>
    <w:p>
      <w:pPr>
        <w:ind w:left="0" w:firstLine="480"/>
        <w:jc w:val="both"/>
        <w:keepLines w:val="0"/>
        <w:keepNext w:val="0"/>
        <w:pageBreakBefore w:val="0"/>
        <w:spacing w:line="520" w:lineRule="exact"/>
        <w:widowControl w:val="off"/>
        <w:tabs>
          <w:tab w:val="center" w:pos="44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22.5开标时，投标文件中开标一览表内容与投标文件中明细表内容不一致的，以开标一览表为准。</w:t>
      </w:r>
      <w:r/>
    </w:p>
    <w:p>
      <w:pPr>
        <w:ind w:left="0" w:firstLine="480"/>
        <w:jc w:val="both"/>
        <w:keepLines w:val="0"/>
        <w:keepNext w:val="0"/>
        <w:pageBreakBefore w:val="0"/>
        <w:spacing w:line="520" w:lineRule="exact"/>
        <w:widowControl w:val="off"/>
        <w:tabs>
          <w:tab w:val="center" w:pos="44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left="0" w:firstLine="480"/>
        <w:jc w:val="both"/>
        <w:keepLines w:val="0"/>
        <w:keepNext w:val="0"/>
        <w:pageBreakBefore w:val="0"/>
        <w:spacing w:line="520" w:lineRule="exact"/>
        <w:widowControl w:val="off"/>
        <w:tabs>
          <w:tab w:val="center" w:pos="44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22.6投标人未参加开标的，视同认可开标结果。</w:t>
      </w:r>
      <w:r/>
    </w:p>
    <w:p>
      <w:pPr>
        <w:ind w:left="0" w:firstLine="482"/>
        <w:jc w:val="both"/>
        <w:keepLines w:val="0"/>
        <w:keepNext w:val="0"/>
        <w:pageBreakBefore w:val="0"/>
        <w:spacing w:line="520" w:lineRule="exact"/>
        <w:tabs>
          <w:tab w:val="center" w:pos="4479"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23</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评标委员会</w:t>
      </w:r>
      <w:r>
        <w:rPr>
          <w:rFonts w:hint="eastAsia" w:ascii="宋体" w:hAnsi="宋体" w:eastAsia="宋体" w:cs="宋体"/>
          <w:b/>
          <w:color w:val="auto"/>
          <w:sz w:val="24"/>
          <w:szCs w:val="24"/>
          <w:highlight w:val="none"/>
        </w:rPr>
        <w:tab/>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23.1评标委员会由招标采购单位依法组建，负责本项目的评标事务。</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23.2评标委员会应当独立履行下列职责：</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23.2.1审查投标文件是否符合招标文件的要求，并作出评价；</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23.2.2可以要求投标供应商对投标文件有关事项作出解释或澄清；</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23.2.3推荐中标候选供应商名单，或者受采购人委托按照事先确定的办法直接确定中标供应商；</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23.2.4向招标采购单位或者有关部门报告非法干预评标工作的行为。</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23.3评标委员会成员应当履行下列义务：</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23.3.1遵纪守法，客观、公正、廉洁地履行职责；</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23.3.2按照招标文件规定的评标办法和评标标准进行评标，对评审意见承担个人责任；</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23.3.3对评标过程和结果，以及投标人的商业秘密保密；</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23.3.4参与评标报告的起草；</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23.3.5配合相关部门的投诉处理工作；</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23.3.6配合招标采购单位答复投标供应商提出的质疑。</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24</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评标内容的保密</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24.1公开开标后，直到宣布授予中标人合同为止，凡属于审查、澄清、评价和比较投标的所有资料，有关授予合同的信息都不应向投标人或与评标无关的其他人泄露。</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24.2在投标文件的审查、澄清、评价和比较以及授予合同的过程中，投标人对招标采购单位和评标委员会成员施加影响的任何行为，都将取消其投标资格。</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24.3在评标期间，招标采购单位将通过指定联络人与投标人进行联系。</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25.对投标文件进行初审</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25.1投标文件初审分为资格性检查和符合性检查。</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25.1.1资格性检查。依据法律法规和招标文件的规定，对投标文件中的资格证明、投标保证金等进行审查，以确定投标供应商是否具备投标资格。</w:t>
      </w:r>
      <w:r/>
    </w:p>
    <w:p>
      <w:pPr>
        <w:ind w:left="0" w:firstLine="480"/>
        <w:jc w:val="both"/>
        <w:keepLines w:val="0"/>
        <w:keepNext w:val="0"/>
        <w:pageBreakBefore w:val="0"/>
        <w:spacing w:line="52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25.1.2符合性检查。依据招标文件的规定，从投标文件的有效性、完整性和对招标文件的响应程度进行审查，以确定是否对招标文件的实质性要求作出响应。</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left="0" w:firstLine="482"/>
        <w:jc w:val="both"/>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投标人有下列情况之一的，投标文件无效：</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1）投标人未在规定时间内成功解密电子投标文件的；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2）投标人未按照招标文件要求上传电子投标文件的；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3）投标文件未按照招标文件要求加盖电子签章或签署的；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4）投标人的法定代表人授权代表，无法定代表人授权委托书的；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5）不具备招标文件中规定的资格要求或未按招标文件规定的要求提供资格、资信证明文件的；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6）被“信用中国”网站（www.creditchina.gov.cn）列入失信被执行人、重大税收违法案件当事人名单、政府采购严重违法失信行为记录名单的；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7）投标文件未按招标文件规定的内容和要求填写的；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8）投标文件中有招标文件未允许提供的选择性内容的；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9）不同投标人的投标文件由同一单位或者个人编制的；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w:t>
      </w:r>
      <w:bookmarkStart w:id="39" w:name="_Hlk193034237"/>
      <w:r>
        <w:rPr>
          <w:rFonts w:hint="eastAsia" w:ascii="宋体" w:hAnsi="宋体" w:eastAsia="宋体" w:cs="宋体"/>
          <w:color w:val="auto"/>
          <w:sz w:val="24"/>
          <w:szCs w:val="24"/>
          <w:highlight w:val="none"/>
        </w:rPr>
        <w:t xml:space="preserve">不同投标人委托同一单位或者个人办理投标事宜的（包含使用同一MAC地址的计算机提交或者解密电子响应文件的情形）；</w:t>
      </w:r>
      <w:bookmarkEnd w:id="39"/>
      <w:r/>
      <w:bookmarkStart w:id="40" w:name="OLE_LINK8"/>
      <w:r/>
      <w:bookmarkEnd w:id="40"/>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w:t>
      </w:r>
      <w:bookmarkStart w:id="41" w:name="OLE_LINK10"/>
      <w:r>
        <w:rPr>
          <w:rFonts w:hint="eastAsia" w:ascii="宋体" w:hAnsi="宋体" w:eastAsia="宋体" w:cs="宋体"/>
          <w:color w:val="auto"/>
          <w:sz w:val="24"/>
          <w:szCs w:val="24"/>
          <w:highlight w:val="none"/>
        </w:rPr>
        <w:t xml:space="preserve">不同的投标人响应文件制作的MAC地址一致的；</w:t>
      </w:r>
      <w:bookmarkEnd w:id="41"/>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12）不同投标人的投标文件载明的项目管理成员或者联系人员为同一人的；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13）不同投标人的投标文件异常一致或者投标报价呈规律性差异的；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14）不同投标人的单位负责人为同一人或者存在直接控股、管理关系的；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15）项目（标段）投标总价或单价超过本项目（标段）预算金额或最高限价的；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16）不同投标人的履约保证金从同一单位或者个人账户转出的、购买履约保证保险单的费用从同一单位转出或由同一个人账户支付的；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17）投标文件含有采购人不能接受的附加条件的；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18）根据《关于推动解决政府采购异常低价问题的通知》（财库〔2026〕2号）文件要求，</w:t>
      </w:r>
      <w:r>
        <w:rPr>
          <w:rFonts w:hint="eastAsia" w:ascii="宋体" w:hAnsi="宋体" w:eastAsia="宋体" w:cs="宋体"/>
          <w:color w:val="auto"/>
          <w:sz w:val="24"/>
          <w:szCs w:val="24"/>
          <w:highlight w:val="none"/>
          <w:lang w:val="en-US" w:eastAsia="zh-CN"/>
        </w:rPr>
        <w:t xml:space="preserve">评标委员会</w:t>
      </w:r>
      <w:r>
        <w:rPr>
          <w:rFonts w:hint="eastAsia" w:ascii="宋体" w:hAnsi="宋体" w:eastAsia="宋体" w:cs="宋体"/>
          <w:color w:val="auto"/>
          <w:sz w:val="24"/>
          <w:szCs w:val="24"/>
          <w:highlight w:val="none"/>
        </w:rPr>
        <w:t xml:space="preserve">对于报价异常低价情况启动审查程序后，报价人不能提供书面说明、证明材料，或者提供的书面说明、证明材料不能证明其报价合理性的；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19）除单一来源采购项目外，为采购项目提供整体设计、规范编制或者项目管理、监理、检测等服务的；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20）投标文件内容不全或不符合招标文件中规定的其他实质性要求的；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21）改变招标文件中规定的应急措施处置费的；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22）改变招标文件清单给出的名称、实施范围、工作内容、计量单位、工程量、养护等级等；</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23）提供虚假材料的；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和招标文件规定的其他无效情形。</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left="0" w:firstLine="480"/>
        <w:jc w:val="both"/>
        <w:keepLines w:val="0"/>
        <w:keepNext w:val="0"/>
        <w:pageBreakBefore w:val="0"/>
        <w:spacing w:line="520" w:lineRule="exact"/>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25.5招标采购单位对投标文件的判定，只依据投标内容本身，不依靠开标后的任何外来证明。</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25.6招标采购单位将拒绝被确定为非实质性响应的投标，投标人不能通过修正或撤销不符之处而使其投标成为实质性响应的投标。</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26.投标文件的澄清</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26.1对投标文件中含义不明确、同类问题表述不一致或者有明显文字和计算错误的内容，评委会有权以电子函件形式要求投标人对其投标文件作出必要的澄清、说明或者纠正，但并非对每个投标人都</w:t>
      </w:r>
      <w:r>
        <w:rPr>
          <w:rFonts w:hint="eastAsia" w:ascii="宋体" w:hAnsi="宋体" w:eastAsia="宋体" w:cs="宋体"/>
          <w:color w:val="auto"/>
          <w:szCs w:val="24"/>
          <w:highlight w:val="none"/>
          <w:lang w:eastAsia="zh-CN"/>
        </w:rPr>
        <w:t xml:space="preserve">作出</w:t>
      </w:r>
      <w:r>
        <w:rPr>
          <w:rFonts w:hint="eastAsia" w:ascii="宋体" w:hAnsi="宋体" w:eastAsia="宋体" w:cs="宋体"/>
          <w:color w:val="auto"/>
          <w:szCs w:val="24"/>
          <w:highlight w:val="none"/>
        </w:rPr>
        <w:t xml:space="preserve">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27.废标</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27.1 在招标采购中，出现下列情形之一的，应予废标：</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符合专业条件的投标人或者对招标文件作出实质性响应的投标人不足三家；</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出现影响采购公正的违法、违规行为；</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投标人的报价均超过采购预算，采购人不能支付的；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因重大变故，采购任务取消；</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因“江苏政府采购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系统”系统重大故障原因无法继续开评标的。</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28</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投标文件的评价和比较</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28.1评标委员会按招标文件规定的评标方法和标准，对符合性检查合格的投标文件进行商务和技术评估，综合比较与评价。</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28.2最低的投标报价或最高的折扣比例是中标的重要条件，但不是唯一条件。</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29.质疑处理</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29.1 提出质疑的投标人应当是参与所质疑项目采购活动的供应商。潜在供应商依法获取其可质疑的采购文件的，可以对采购文件提出质疑。</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lang w:val="en-US" w:eastAsia="zh-CN"/>
        </w:rPr>
        <w:outlineLvl w:val="9"/>
      </w:pPr>
      <w:r>
        <w:rPr>
          <w:rFonts w:hint="eastAsia" w:ascii="宋体" w:hAnsi="宋体" w:eastAsia="宋体" w:cs="宋体"/>
          <w:color w:val="auto"/>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29.2.1对可以质疑的采购文件提出质疑的，为收到采购文件之日或者采购文件公告期限届满之日；</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29.2.2对采购过程提出质疑的，为各采购程序环节结束之日；</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29.2.3对中标结果提出质疑的，为中标结果公告期限届满之日。</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29.4采购人及采购代理机构只接受以纸质原件形式送达的质疑。质疑接收人及联系方式见招标文件第一章。</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29.5 以下情形的质疑不予受理</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29.5.1内容不符合《政府采购质疑和投诉办法》第十二条规定的质疑。</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29.5.2超出政府采购法定期限的质疑。</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29.5.3以传真、电子邮件等方式递交的非原件形式的质疑。</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29.5.4未参加投标活动的供应商或在投标活动中自身权益未受到损害的供应商所提出的质疑。</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29.5.5供应商组成联合体参加投标，联合体中任何一方或多方未按要求签字、盖章、加盖公章的质疑。</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七、授予合同</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30</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中标人的确认</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30.1评标委员会按招标文件规定的评标方法和标准进行详细评审后，按招标采购单位的委托向招标采购单位推荐中标候选单位或根据采购人授权直接确定中标供应商。</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30.2中标无效的确认：</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（1）提供虚假材料谋取中标的；</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（2）采取不正当手段诋毁、排挤其他投标人的；</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（3）与招标采购单位、其他投标人恶意串通的；</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（4）向招标采购单位行贿或者提供其他不正当利益的；</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（5）在招标过程中与招标采购单位进行协商谈判、不按照招标文件和中标供应商的投标文件订立合同，或者与采购人另行订立背离合同实质性内容的协议的；</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（6）拒绝有关部门监督检查或者提供虚假情况的。</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30.3经评标委员</w:t>
      </w:r>
      <w:r>
        <w:rPr>
          <w:rFonts w:hint="eastAsia" w:ascii="宋体" w:hAnsi="宋体" w:eastAsia="宋体" w:cs="宋体"/>
          <w:color w:val="auto"/>
          <w:szCs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31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合同授予标准</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31.1招标采购单位将把合同授予其投标文件在实质上响应招标文件要求且综合评分得分最高的投标人。</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32</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中标通知书</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32.2中标通知书将成为合同的组成部分。</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32.3招标采购单位对未中标供应商不承担解释未中标原因的义务。</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33.履约保证金</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33.1中标人应按规定提交履约保证金。</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33.2中标人必须在合同签订前按规定向采购人缴纳履约保证金。中标人未按招标文件要求提交履约保证金的，采购人可取消其中标资格。</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33.3履约保证金（无息）将在合同期结束且经双方验收合格后无息退还给中标单位。</w:t>
      </w:r>
      <w:r/>
    </w:p>
    <w:p>
      <w:pPr>
        <w:ind w:left="0" w:firstLine="480"/>
        <w:jc w:val="both"/>
        <w:keepLines w:val="0"/>
        <w:keepNext w:val="0"/>
        <w:pageBreakBefore w:val="0"/>
        <w:spacing w:line="52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33.3履约保证金用以约束供应商在合同履行中的行为，弥补合同执行中由于自身行为可能给采购人带来的各种损失。</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34</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合同的签订</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34.1中标人应按中标通知书中规定的时间和地点，由法定代表人或委托代理人与采购人代表签订合同。</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34.2签订合同及合同条款应以招标文件和中标人的投标文件及其澄清文件为依据。</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34.3中标人无正当理由拒签合同的，或在签订合同时向采购人提出附加条件或者更改合同实质性内容的，采购人可取消其中标资格，同时由中标人承担相应的法律责任。</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35.政府采购政策</w:t>
      </w:r>
      <w:r/>
    </w:p>
    <w:p>
      <w:pPr>
        <w:ind w:firstLine="480"/>
        <w:keepLines w:val="0"/>
        <w:keepNext w:val="0"/>
        <w:pageBreakBefore w:val="0"/>
        <w:spacing w:line="520" w:lineRule="exact"/>
        <w:tabs>
          <w:tab w:val="left" w:pos="2850" w:leader="none"/>
          <w:tab w:val="center" w:pos="4153" w:leader="none"/>
        </w:tabs>
        <w:rPr>
          <w:rFonts w:hint="eastAsia" w:ascii="宋体" w:hAnsi="宋体" w:eastAsia="宋体" w:cs="宋体"/>
          <w:color w:val="auto"/>
          <w:sz w:val="24"/>
          <w:highlight w:val="none"/>
          <w:lang w:bidi="ar"/>
        </w:rPr>
        <w:outlineLvl w:val="9"/>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小微型企业价格扣除</w:t>
      </w:r>
      <w:r/>
    </w:p>
    <w:p>
      <w:pPr>
        <w:ind w:firstLine="480"/>
        <w:keepLines w:val="0"/>
        <w:keepNext w:val="0"/>
        <w:pageBreakBefore w:val="0"/>
        <w:spacing w:line="520" w:lineRule="exact"/>
        <w:tabs>
          <w:tab w:val="left" w:pos="2850" w:leader="none"/>
          <w:tab w:val="center" w:pos="4153" w:leader="none"/>
        </w:tabs>
        <w:rPr>
          <w:rFonts w:hint="eastAsia" w:ascii="宋体" w:hAnsi="宋体" w:eastAsia="宋体" w:cs="宋体"/>
          <w:color w:val="auto"/>
          <w:sz w:val="24"/>
          <w:highlight w:val="none"/>
          <w:lang w:bidi="ar"/>
        </w:rPr>
        <w:outlineLvl w:val="9"/>
      </w:pPr>
      <w:r>
        <w:rPr>
          <w:rFonts w:hint="eastAsia" w:ascii="宋体" w:hAnsi="宋体" w:eastAsia="宋体" w:cs="宋体"/>
          <w:color w:val="auto"/>
          <w:sz w:val="24"/>
          <w:highlight w:val="none"/>
          <w:lang w:bidi="ar"/>
        </w:rPr>
        <w:t xml:space="preserve">①本项目对小型和微型企业给予</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0%的扣除价格，用扣除后的价格参与评审。</w:t>
      </w:r>
      <w:r/>
    </w:p>
    <w:p>
      <w:pPr>
        <w:ind w:firstLine="480"/>
        <w:keepLines w:val="0"/>
        <w:keepNext w:val="0"/>
        <w:pageBreakBefore w:val="0"/>
        <w:spacing w:line="520" w:lineRule="exact"/>
        <w:tabs>
          <w:tab w:val="left" w:pos="2850" w:leader="none"/>
          <w:tab w:val="center" w:pos="4153" w:leader="none"/>
        </w:tabs>
        <w:rPr>
          <w:rFonts w:hint="eastAsia" w:ascii="宋体" w:hAnsi="宋体" w:eastAsia="宋体" w:cs="宋体"/>
          <w:color w:val="auto"/>
          <w:sz w:val="24"/>
          <w:highlight w:val="none"/>
          <w:lang w:bidi="ar"/>
        </w:rPr>
        <w:outlineLvl w:val="9"/>
      </w:pPr>
      <w:r>
        <w:rPr>
          <w:rFonts w:hint="eastAsia" w:ascii="宋体" w:hAnsi="宋体" w:eastAsia="宋体" w:cs="宋体"/>
          <w:color w:val="auto"/>
          <w:sz w:val="24"/>
          <w:highlight w:val="none"/>
          <w:lang w:bidi="ar"/>
        </w:rPr>
        <w:t xml:space="preserve">②供应商需按照采购文件的要求提供相应的《企业声明函》。</w:t>
      </w:r>
      <w:r/>
    </w:p>
    <w:p>
      <w:pPr>
        <w:ind w:firstLine="480"/>
        <w:keepLines w:val="0"/>
        <w:keepNext w:val="0"/>
        <w:pageBreakBefore w:val="0"/>
        <w:spacing w:line="520" w:lineRule="exact"/>
        <w:tabs>
          <w:tab w:val="left" w:pos="2850" w:leader="none"/>
          <w:tab w:val="center" w:pos="4153" w:leader="none"/>
        </w:tabs>
        <w:rPr>
          <w:rFonts w:hint="eastAsia" w:ascii="宋体" w:hAnsi="宋体" w:eastAsia="宋体" w:cs="宋体"/>
          <w:color w:val="auto"/>
          <w:sz w:val="24"/>
          <w:highlight w:val="none"/>
          <w:lang w:bidi="ar"/>
        </w:rPr>
        <w:outlineLvl w:val="9"/>
      </w:pPr>
      <w:r>
        <w:rPr>
          <w:rFonts w:hint="eastAsia" w:ascii="宋体" w:hAnsi="宋体" w:eastAsia="宋体" w:cs="宋体"/>
          <w:color w:val="auto"/>
          <w:sz w:val="24"/>
          <w:highlight w:val="none"/>
          <w:lang w:bidi="ar"/>
        </w:rPr>
        <w:t xml:space="preserve">③在货物采购项目中，供应商提供的货物既有中小企业制造货物，也有大型企业制造货物的，不享受本办法规定的中小企业扶持政策。</w:t>
      </w:r>
      <w:r/>
    </w:p>
    <w:p>
      <w:pPr>
        <w:ind w:firstLine="480"/>
        <w:keepLines w:val="0"/>
        <w:keepNext w:val="0"/>
        <w:pageBreakBefore w:val="0"/>
        <w:spacing w:line="520" w:lineRule="exact"/>
        <w:tabs>
          <w:tab w:val="left" w:pos="2850" w:leader="none"/>
          <w:tab w:val="center" w:pos="4153" w:leader="none"/>
        </w:tabs>
        <w:rPr>
          <w:rFonts w:hint="eastAsia" w:ascii="宋体" w:hAnsi="宋体" w:eastAsia="宋体" w:cs="宋体"/>
          <w:color w:val="auto"/>
          <w:sz w:val="24"/>
          <w:highlight w:val="none"/>
          <w:lang w:bidi="ar"/>
        </w:rPr>
        <w:outlineLvl w:val="9"/>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2</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残疾人福利单位价格扣除</w:t>
      </w:r>
      <w:r/>
    </w:p>
    <w:p>
      <w:pPr>
        <w:ind w:firstLine="480"/>
        <w:keepLines w:val="0"/>
        <w:keepNext w:val="0"/>
        <w:pageBreakBefore w:val="0"/>
        <w:spacing w:line="520" w:lineRule="exact"/>
        <w:tabs>
          <w:tab w:val="left" w:pos="2850" w:leader="none"/>
          <w:tab w:val="center" w:pos="4153" w:leader="none"/>
        </w:tabs>
        <w:rPr>
          <w:rFonts w:hint="eastAsia" w:ascii="宋体" w:hAnsi="宋体" w:eastAsia="宋体" w:cs="宋体"/>
          <w:color w:val="auto"/>
          <w:sz w:val="24"/>
          <w:highlight w:val="none"/>
          <w:lang w:bidi="ar"/>
        </w:rPr>
        <w:outlineLvl w:val="9"/>
      </w:pPr>
      <w:r>
        <w:rPr>
          <w:rFonts w:hint="eastAsia" w:ascii="宋体" w:hAnsi="宋体" w:eastAsia="宋体" w:cs="宋体"/>
          <w:color w:val="auto"/>
          <w:sz w:val="24"/>
          <w:highlight w:val="none"/>
          <w:lang w:bidi="ar"/>
        </w:rPr>
        <w:t xml:space="preserve">①本项目对残疾人福利性单位视同小型、微型企业，给予10%的价格扣除，用扣除后的价格参与评审。</w:t>
      </w:r>
      <w:r/>
    </w:p>
    <w:p>
      <w:pPr>
        <w:ind w:firstLine="480"/>
        <w:keepLines w:val="0"/>
        <w:keepNext w:val="0"/>
        <w:pageBreakBefore w:val="0"/>
        <w:spacing w:line="520" w:lineRule="exact"/>
        <w:tabs>
          <w:tab w:val="left" w:pos="2850" w:leader="none"/>
          <w:tab w:val="center" w:pos="4153" w:leader="none"/>
        </w:tabs>
        <w:rPr>
          <w:rFonts w:hint="eastAsia" w:ascii="宋体" w:hAnsi="宋体" w:eastAsia="宋体" w:cs="宋体"/>
          <w:color w:val="auto"/>
          <w:sz w:val="24"/>
          <w:highlight w:val="none"/>
          <w:lang w:bidi="ar"/>
        </w:rPr>
        <w:outlineLvl w:val="9"/>
      </w:pPr>
      <w:r>
        <w:rPr>
          <w:rFonts w:hint="eastAsia" w:ascii="宋体" w:hAnsi="宋体" w:eastAsia="宋体" w:cs="宋体"/>
          <w:color w:val="auto"/>
          <w:sz w:val="24"/>
          <w:highlight w:val="none"/>
          <w:lang w:bidi="ar"/>
        </w:rPr>
        <w:t xml:space="preserve">②残疾人福利单位需按照采购文件的要求提供《残疾人福利性单位声明函》。</w:t>
      </w:r>
      <w:r/>
    </w:p>
    <w:p>
      <w:pPr>
        <w:ind w:firstLine="480"/>
        <w:keepLines w:val="0"/>
        <w:keepNext w:val="0"/>
        <w:pageBreakBefore w:val="0"/>
        <w:spacing w:line="520" w:lineRule="exact"/>
        <w:tabs>
          <w:tab w:val="left" w:pos="2850" w:leader="none"/>
          <w:tab w:val="center" w:pos="4153" w:leader="none"/>
        </w:tabs>
        <w:rPr>
          <w:rFonts w:hint="eastAsia" w:ascii="宋体" w:hAnsi="宋体" w:eastAsia="宋体" w:cs="宋体"/>
          <w:color w:val="auto"/>
          <w:sz w:val="24"/>
          <w:highlight w:val="none"/>
          <w:lang w:bidi="ar"/>
        </w:rPr>
        <w:outlineLvl w:val="9"/>
      </w:pPr>
      <w:r>
        <w:rPr>
          <w:rFonts w:hint="eastAsia" w:ascii="宋体" w:hAnsi="宋体" w:eastAsia="宋体" w:cs="宋体"/>
          <w:color w:val="auto"/>
          <w:sz w:val="24"/>
          <w:highlight w:val="none"/>
          <w:lang w:bidi="ar"/>
        </w:rPr>
        <w:t xml:space="preserve">③残疾人福利单位标准请参照《关于促进残疾人就业政府采购政策的通知》（财库〔2017〕141号）。</w:t>
      </w:r>
      <w:r/>
    </w:p>
    <w:p>
      <w:pPr>
        <w:ind w:firstLine="480"/>
        <w:keepLines w:val="0"/>
        <w:keepNext w:val="0"/>
        <w:pageBreakBefore w:val="0"/>
        <w:spacing w:line="520" w:lineRule="exact"/>
        <w:tabs>
          <w:tab w:val="left" w:pos="2850" w:leader="none"/>
          <w:tab w:val="center" w:pos="4153" w:leader="none"/>
        </w:tabs>
        <w:rPr>
          <w:rFonts w:hint="eastAsia" w:ascii="宋体" w:hAnsi="宋体" w:eastAsia="宋体" w:cs="宋体"/>
          <w:color w:val="auto"/>
          <w:sz w:val="24"/>
          <w:highlight w:val="none"/>
          <w:lang w:bidi="ar"/>
        </w:rPr>
        <w:outlineLvl w:val="9"/>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监狱和戒毒企业价格扣除</w:t>
      </w:r>
      <w:r/>
    </w:p>
    <w:p>
      <w:pPr>
        <w:ind w:firstLine="480"/>
        <w:keepLines w:val="0"/>
        <w:keepNext w:val="0"/>
        <w:pageBreakBefore w:val="0"/>
        <w:spacing w:line="520" w:lineRule="exact"/>
        <w:tabs>
          <w:tab w:val="left" w:pos="2850" w:leader="none"/>
          <w:tab w:val="center" w:pos="4153" w:leader="none"/>
        </w:tabs>
        <w:rPr>
          <w:rFonts w:hint="eastAsia" w:ascii="宋体" w:hAnsi="宋体" w:eastAsia="宋体" w:cs="宋体"/>
          <w:color w:val="auto"/>
          <w:sz w:val="24"/>
          <w:highlight w:val="none"/>
          <w:lang w:bidi="ar"/>
        </w:rPr>
        <w:outlineLvl w:val="9"/>
      </w:pPr>
      <w:r>
        <w:rPr>
          <w:rFonts w:hint="eastAsia" w:ascii="宋体" w:hAnsi="宋体" w:eastAsia="宋体" w:cs="宋体"/>
          <w:color w:val="auto"/>
          <w:sz w:val="24"/>
          <w:highlight w:val="none"/>
          <w:lang w:bidi="ar"/>
        </w:rPr>
        <w:t xml:space="preserve">①本项目对监狱和戒毒企业（简称监狱企业）视同小型、微型企业，给予10%的价格扣除，用扣除后的价格参与评审。</w:t>
      </w:r>
      <w:r/>
    </w:p>
    <w:p>
      <w:pPr>
        <w:ind w:firstLine="480"/>
        <w:keepLines w:val="0"/>
        <w:keepNext w:val="0"/>
        <w:pageBreakBefore w:val="0"/>
        <w:spacing w:line="520" w:lineRule="exact"/>
        <w:tabs>
          <w:tab w:val="left" w:pos="2850" w:leader="none"/>
          <w:tab w:val="center" w:pos="4153" w:leader="none"/>
        </w:tabs>
        <w:rPr>
          <w:rFonts w:hint="eastAsia" w:ascii="宋体" w:hAnsi="宋体" w:eastAsia="宋体" w:cs="宋体"/>
          <w:color w:val="auto"/>
          <w:sz w:val="24"/>
          <w:highlight w:val="none"/>
          <w:lang w:bidi="ar"/>
        </w:rPr>
        <w:outlineLvl w:val="9"/>
      </w:pPr>
      <w:r>
        <w:rPr>
          <w:rFonts w:hint="eastAsia" w:ascii="宋体" w:hAnsi="宋体" w:eastAsia="宋体" w:cs="宋体"/>
          <w:color w:val="auto"/>
          <w:sz w:val="24"/>
          <w:highlight w:val="none"/>
          <w:lang w:bidi="ar"/>
        </w:rPr>
        <w:t xml:space="preserve">②监狱企业参加政府采购活动时，需提供由省级以上监狱管理局、戒毒管理局</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含新疆生产建设兵团</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出具的属于监狱企业的证明文件。供应商如不提供上述证明文件，价格将不做相应扣除。</w:t>
      </w:r>
      <w:r/>
    </w:p>
    <w:p>
      <w:pPr>
        <w:ind w:firstLine="480"/>
        <w:keepLines w:val="0"/>
        <w:keepNext w:val="0"/>
        <w:pageBreakBefore w:val="0"/>
        <w:spacing w:line="520" w:lineRule="exact"/>
        <w:tabs>
          <w:tab w:val="left" w:pos="2850" w:leader="none"/>
          <w:tab w:val="center" w:pos="4153" w:leader="none"/>
        </w:tabs>
        <w:rPr>
          <w:rFonts w:hint="eastAsia" w:ascii="宋体" w:hAnsi="宋体" w:eastAsia="宋体" w:cs="宋体"/>
          <w:color w:val="auto"/>
          <w:sz w:val="24"/>
          <w:highlight w:val="none"/>
          <w:lang w:bidi="ar"/>
        </w:rPr>
        <w:outlineLvl w:val="9"/>
      </w:pPr>
      <w:r>
        <w:rPr>
          <w:rFonts w:hint="eastAsia" w:ascii="宋体" w:hAnsi="宋体" w:eastAsia="宋体" w:cs="宋体"/>
          <w:color w:val="auto"/>
          <w:sz w:val="24"/>
          <w:highlight w:val="none"/>
          <w:lang w:bidi="ar"/>
        </w:rPr>
        <w:t xml:space="preserve">③监狱企业标准请参照《关于政府采购支持监狱企业发展有关问题的通知》（财库</w:t>
      </w:r>
      <w:r>
        <w:rPr>
          <w:rFonts w:hint="eastAsia" w:ascii="宋体" w:hAnsi="宋体" w:eastAsia="宋体" w:cs="宋体"/>
          <w:color w:val="auto"/>
          <w:sz w:val="24"/>
          <w:highlight w:val="none"/>
          <w:lang w:eastAsia="zh-CN" w:bidi="ar"/>
        </w:rPr>
        <w:t xml:space="preserve">〔2014〕68号</w:t>
      </w:r>
      <w:r>
        <w:rPr>
          <w:rFonts w:hint="eastAsia" w:ascii="宋体" w:hAnsi="宋体" w:eastAsia="宋体" w:cs="宋体"/>
          <w:color w:val="auto"/>
          <w:sz w:val="24"/>
          <w:highlight w:val="none"/>
          <w:lang w:bidi="ar"/>
        </w:rPr>
        <w:t xml:space="preserve">）。</w:t>
      </w:r>
      <w:r/>
    </w:p>
    <w:p>
      <w:pPr>
        <w:ind w:firstLine="480"/>
        <w:keepLines w:val="0"/>
        <w:keepNext w:val="0"/>
        <w:pageBreakBefore w:val="0"/>
        <w:spacing w:line="520" w:lineRule="exact"/>
        <w:tabs>
          <w:tab w:val="left" w:pos="2850" w:leader="none"/>
          <w:tab w:val="center" w:pos="4153" w:leader="none"/>
        </w:tabs>
        <w:rPr>
          <w:rFonts w:hint="eastAsia" w:ascii="宋体" w:hAnsi="宋体" w:eastAsia="宋体" w:cs="宋体"/>
          <w:color w:val="auto"/>
          <w:sz w:val="24"/>
          <w:highlight w:val="none"/>
          <w:lang w:bidi="ar"/>
        </w:rPr>
        <w:outlineLvl w:val="9"/>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4</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残疾人福利单位、监狱企业属于小型、微型企业的，不重复享受政策。</w:t>
      </w:r>
      <w:r/>
    </w:p>
    <w:p>
      <w:pPr>
        <w:pStyle w:val="983"/>
        <w:ind w:left="0" w:firstLine="482"/>
        <w:jc w:val="both"/>
        <w:keepLines w:val="0"/>
        <w:keepNext w:val="0"/>
        <w:pageBreakBefore w:val="0"/>
        <w:spacing w:line="520" w:lineRule="exact"/>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szCs w:val="24"/>
          <w:highlight w:val="none"/>
        </w:rPr>
        <w:t xml:space="preserve">35.</w:t>
      </w:r>
      <w:r>
        <w:rPr>
          <w:rFonts w:hint="eastAsia" w:ascii="宋体" w:hAnsi="宋体" w:eastAsia="宋体" w:cs="宋体"/>
          <w:b/>
          <w:bCs/>
          <w:color w:val="auto"/>
          <w:szCs w:val="24"/>
          <w:highlight w:val="none"/>
          <w:lang w:val="en-US" w:eastAsia="zh-CN"/>
        </w:rPr>
        <w:t xml:space="preserve">3</w:t>
      </w:r>
      <w:r>
        <w:rPr>
          <w:rFonts w:hint="eastAsia" w:ascii="宋体" w:hAnsi="宋体" w:eastAsia="宋体" w:cs="宋体"/>
          <w:b/>
          <w:bCs/>
          <w:color w:val="auto"/>
          <w:szCs w:val="24"/>
          <w:highlight w:val="none"/>
        </w:rPr>
        <w:t xml:space="preserve">本项目所属行业为</w:t>
      </w:r>
      <w:r>
        <w:rPr>
          <w:rFonts w:hint="eastAsia" w:ascii="宋体" w:hAnsi="宋体" w:eastAsia="宋体" w:cs="宋体"/>
          <w:b/>
          <w:bCs/>
          <w:color w:val="auto"/>
          <w:szCs w:val="24"/>
          <w:highlight w:val="none"/>
          <w:u w:val="single"/>
          <w:lang w:val="en-US" w:eastAsia="zh-CN"/>
        </w:rPr>
        <w:t xml:space="preserve">  其他未列明行业  </w:t>
      </w:r>
      <w:r>
        <w:rPr>
          <w:rFonts w:hint="eastAsia" w:ascii="宋体" w:hAnsi="宋体" w:eastAsia="宋体" w:cs="宋体"/>
          <w:b/>
          <w:bCs/>
          <w:color w:val="auto"/>
          <w:szCs w:val="24"/>
          <w:highlight w:val="none"/>
        </w:rPr>
        <w:t xml:space="preserve">。</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lang w:val="en-US" w:eastAsia="zh-CN"/>
        </w:rPr>
        <w:t xml:space="preserve">35.4</w:t>
      </w:r>
      <w:r>
        <w:rPr>
          <w:rFonts w:hint="eastAsia" w:ascii="宋体" w:hAnsi="宋体" w:eastAsia="宋体" w:cs="宋体"/>
          <w:color w:val="auto"/>
          <w:szCs w:val="24"/>
          <w:highlight w:val="none"/>
        </w:rPr>
        <w:t xml:space="preserve">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35.</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若供应商提供的《中小企业声明函</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残疾人福利性单位声明函》及监狱企业认定证明等材料为虚假材料，按《中华人民共和国政府采购法》相关规定处理并报请政府采购监管部门给予行政处罚。</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36</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特别提醒</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36.1投标单位如有提供不实评审材料，弄虚作假者，一律作废标处理，该不良行为将予以公示。</w:t>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36.2在本项目评审结束前，各供应商授权代表应保持手机畅通，如有必要需供应商针对自身投标文件进行澄清的，供应商需</w:t>
      </w:r>
      <w:r>
        <w:rPr>
          <w:rFonts w:hint="eastAsia" w:ascii="宋体" w:hAnsi="宋体" w:eastAsia="宋体" w:cs="宋体"/>
          <w:color w:val="auto"/>
          <w:szCs w:val="24"/>
          <w:highlight w:val="none"/>
          <w:lang w:eastAsia="zh-CN"/>
        </w:rPr>
        <w:t xml:space="preserve">在第一时间</w:t>
      </w:r>
      <w:r>
        <w:rPr>
          <w:rFonts w:hint="eastAsia" w:ascii="宋体" w:hAnsi="宋体" w:eastAsia="宋体" w:cs="宋体"/>
          <w:color w:val="auto"/>
          <w:szCs w:val="24"/>
          <w:highlight w:val="none"/>
        </w:rPr>
        <w:t xml:space="preserve">配合评委会的询问进行澄清。接到评委会澄清要求的投标人如未按规定</w:t>
      </w:r>
      <w:r>
        <w:rPr>
          <w:rFonts w:hint="eastAsia" w:ascii="宋体" w:hAnsi="宋体" w:eastAsia="宋体" w:cs="宋体"/>
          <w:color w:val="auto"/>
          <w:szCs w:val="24"/>
          <w:highlight w:val="none"/>
          <w:lang w:eastAsia="zh-CN"/>
        </w:rPr>
        <w:t xml:space="preserve">作出</w:t>
      </w:r>
      <w:r>
        <w:rPr>
          <w:rFonts w:hint="eastAsia" w:ascii="宋体" w:hAnsi="宋体" w:eastAsia="宋体" w:cs="宋体"/>
          <w:color w:val="auto"/>
          <w:szCs w:val="24"/>
          <w:highlight w:val="none"/>
        </w:rPr>
        <w:t xml:space="preserve">澄清，其风险由投标人自行承担。</w:t>
      </w:r>
      <w:bookmarkEnd w:id="0"/>
      <w:r/>
      <w:bookmarkStart w:id="42" w:name="_Toc409438818"/>
      <w:r/>
      <w:r/>
    </w:p>
    <w:p>
      <w:pPr>
        <w:pStyle w:val="983"/>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36.3投标文件中需签字或盖章处均可以用电子签名或电子章代替。</w:t>
      </w:r>
      <w:r/>
    </w:p>
    <w:p>
      <w:pPr>
        <w:pStyle w:val="983"/>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83"/>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83"/>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83"/>
        <w:ind w:firstLine="431"/>
        <w:jc w:val="both"/>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pStyle w:val="983"/>
        <w:ind w:firstLine="431"/>
        <w:jc w:val="both"/>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pStyle w:val="983"/>
        <w:ind w:firstLine="431"/>
        <w:jc w:val="both"/>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pStyle w:val="983"/>
        <w:ind w:firstLine="431"/>
        <w:jc w:val="both"/>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pStyle w:val="983"/>
        <w:ind w:firstLine="431"/>
        <w:jc w:val="both"/>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pStyle w:val="983"/>
        <w:ind w:firstLine="431"/>
        <w:jc w:val="both"/>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pStyle w:val="983"/>
        <w:ind w:firstLine="431"/>
        <w:jc w:val="both"/>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pStyle w:val="983"/>
        <w:ind w:firstLine="431"/>
        <w:jc w:val="both"/>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pStyle w:val="983"/>
        <w:ind w:firstLine="431"/>
        <w:jc w:val="both"/>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pStyle w:val="983"/>
        <w:ind w:firstLine="431"/>
        <w:jc w:val="both"/>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pStyle w:val="983"/>
        <w:ind w:firstLine="431"/>
        <w:jc w:val="both"/>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pStyle w:val="983"/>
        <w:ind w:firstLine="431"/>
        <w:jc w:val="both"/>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bookmarkEnd w:id="42"/>
      <w:r/>
      <w:r/>
    </w:p>
    <w:p>
      <w:pPr>
        <w:jc w:val="center"/>
        <w:spacing w:line="360" w:lineRule="auto"/>
        <w:widowControl/>
        <w:rPr>
          <w:rFonts w:hint="eastAsia" w:ascii="宋体" w:hAnsi="宋体" w:eastAsia="宋体" w:cs="宋体"/>
          <w:b/>
          <w:color w:val="auto"/>
          <w:spacing w:val="15"/>
          <w:sz w:val="32"/>
          <w:szCs w:val="32"/>
          <w:highlight w:val="none"/>
        </w:rPr>
      </w:pPr>
      <w:r/>
      <w:bookmarkStart w:id="43" w:name="_Toc388026586"/>
      <w:r>
        <w:rPr>
          <w:rFonts w:hint="eastAsia" w:ascii="宋体" w:hAnsi="宋体" w:eastAsia="宋体" w:cs="宋体"/>
          <w:b/>
          <w:color w:val="auto"/>
          <w:spacing w:val="15"/>
          <w:sz w:val="32"/>
          <w:szCs w:val="32"/>
          <w:highlight w:val="none"/>
        </w:rPr>
        <w:t xml:space="preserve">第三章 采购需求</w:t>
      </w:r>
      <w:r/>
    </w:p>
    <w:p>
      <w:pPr>
        <w:numPr>
          <w:ilvl w:val="0"/>
          <w:numId w:val="0"/>
        </w:numPr>
        <w:ind w:right="0" w:firstLine="482"/>
        <w:jc w:val="both"/>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outlineLvl w:val="9"/>
      </w:pPr>
      <w:r/>
      <w:bookmarkStart w:id="44" w:name="OLE_LINK29"/>
      <w:r>
        <w:rPr>
          <w:rFonts w:hint="eastAsia" w:ascii="宋体" w:hAnsi="宋体" w:eastAsia="宋体" w:cs="宋体"/>
          <w:b/>
          <w:bCs/>
          <w:color w:val="auto"/>
          <w:sz w:val="24"/>
          <w:szCs w:val="24"/>
          <w:highlight w:val="none"/>
          <w:lang w:val="en-US" w:eastAsia="zh-CN"/>
        </w:rPr>
        <w:t xml:space="preserve">一、采购项目内容：</w:t>
      </w:r>
      <w:r/>
    </w:p>
    <w:tbl>
      <w:tblPr>
        <w:tblStyle w:val="731"/>
        <w:tblW w:w="5050" w:type="pct"/>
        <w:tblInd w:w="-108" w:type="dxa"/>
        <w:tblLayout w:type="fixed"/>
        <w:tblCellMar>
          <w:left w:w="108" w:type="dxa"/>
          <w:top w:w="0" w:type="dxa"/>
          <w:right w:w="108" w:type="dxa"/>
          <w:bottom w:w="0" w:type="dxa"/>
        </w:tblCellMar>
        <w:tblLook w:val="04A0" w:firstRow="1" w:lastRow="0" w:firstColumn="1" w:lastColumn="0" w:noHBand="0" w:noVBand="1"/>
      </w:tblPr>
      <w:tblGrid>
        <w:gridCol w:w="919"/>
        <w:gridCol w:w="1623"/>
        <w:gridCol w:w="2504"/>
        <w:gridCol w:w="2353"/>
        <w:gridCol w:w="1752"/>
      </w:tblGrid>
      <w:tr>
        <w:trPr>
          <w:trHeight w:val="720"/>
        </w:trPr>
        <w:tc>
          <w:tcPr>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623" w:type="dxa"/>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品名</w:t>
            </w:r>
            <w:r/>
          </w:p>
        </w:tc>
        <w:tc>
          <w:tcPr>
            <w:tcBorders>
              <w:top w:val="single" w:color="000000" w:sz="4" w:space="0"/>
              <w:left w:val="none" w:color="000000" w:sz="4" w:space="0"/>
              <w:bottom w:val="single" w:color="000000" w:sz="4" w:space="0"/>
              <w:right w:val="single" w:color="000000" w:sz="4" w:space="0"/>
            </w:tcBorders>
            <w:tcW w:w="2504" w:type="dxa"/>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服务期</w:t>
            </w:r>
            <w:r/>
          </w:p>
        </w:tc>
        <w:tc>
          <w:tcPr>
            <w:tcBorders>
              <w:top w:val="single" w:color="000000" w:sz="4" w:space="0"/>
              <w:left w:val="none" w:color="000000" w:sz="4" w:space="0"/>
              <w:bottom w:val="single" w:color="000000" w:sz="4" w:space="0"/>
              <w:right w:val="single" w:color="000000" w:sz="4" w:space="0"/>
            </w:tcBorders>
            <w:tcW w:w="2353"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城镇污水处理污泥年处理量</w:t>
            </w:r>
            <w:r/>
          </w:p>
        </w:tc>
        <w:tc>
          <w:tcPr>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最高限价</w:t>
            </w:r>
            <w:r/>
          </w:p>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（单价）</w:t>
            </w:r>
            <w:r/>
          </w:p>
        </w:tc>
      </w:tr>
      <w:tr>
        <w:trPr>
          <w:trHeight w:val="820"/>
        </w:trPr>
        <w:tc>
          <w:tcPr>
            <w:tcBorders>
              <w:top w:val="non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none" w:color="000000" w:sz="4" w:space="0"/>
            </w:tcBorders>
            <w:tcW w:w="1623" w:type="dxa"/>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污泥处置服务</w:t>
            </w:r>
            <w:r/>
          </w:p>
        </w:tc>
        <w:tc>
          <w:tcPr>
            <w:tcBorders>
              <w:top w:val="single" w:color="000000" w:sz="4" w:space="0"/>
              <w:left w:val="single" w:color="000000" w:sz="4" w:space="0"/>
              <w:bottom w:val="single" w:color="000000" w:sz="4" w:space="0"/>
              <w:right w:val="single" w:color="000000" w:sz="4" w:space="0"/>
            </w:tcBorders>
            <w:tcW w:w="2504" w:type="dxa"/>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2027年1月1日至2027年12月31日</w:t>
            </w:r>
            <w:r/>
          </w:p>
        </w:tc>
        <w:tc>
          <w:tcPr>
            <w:tcBorders>
              <w:top w:val="single" w:color="000000" w:sz="4" w:space="0"/>
              <w:left w:val="none" w:color="000000" w:sz="4" w:space="0"/>
              <w:bottom w:val="single" w:color="000000" w:sz="4" w:space="0"/>
              <w:right w:val="single" w:color="000000" w:sz="4" w:space="0"/>
            </w:tcBorders>
            <w:tcW w:w="2353"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000吨</w:t>
            </w:r>
            <w:r/>
          </w:p>
        </w:tc>
        <w:tc>
          <w:tcPr>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00</w:t>
            </w:r>
            <w:r>
              <w:rPr>
                <w:rFonts w:hint="eastAsia" w:ascii="宋体" w:hAnsi="宋体" w:eastAsia="宋体" w:cs="宋体"/>
                <w:color w:val="000000" w:themeColor="text1"/>
                <w:sz w:val="21"/>
                <w:szCs w:val="21"/>
                <w:highlight w:val="none"/>
                <w14:textFill>
                  <w14:solidFill>
                    <w14:schemeClr w14:val="tx1"/>
                  </w14:solidFill>
                </w14:textFill>
              </w:rPr>
              <w:t xml:space="preserve">元/吨</w:t>
            </w:r>
            <w:r/>
          </w:p>
        </w:tc>
      </w:tr>
    </w:tbl>
    <w:p>
      <w:pPr>
        <w:numPr>
          <w:ilvl w:val="0"/>
          <w:numId w:val="0"/>
        </w:numPr>
        <w:ind w:right="0" w:firstLine="482"/>
        <w:jc w:val="both"/>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二、采购要求：</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1.城北污水处理厂污泥处置服务项目，城镇污水处理污泥年产生量不</w:t>
      </w:r>
      <w:r>
        <w:rPr>
          <w:rFonts w:hint="eastAsia" w:ascii="宋体" w:hAnsi="宋体" w:eastAsia="宋体" w:cs="宋体"/>
          <w:b w:val="0"/>
          <w:bCs w:val="0"/>
          <w:color w:val="auto"/>
          <w:sz w:val="24"/>
          <w:szCs w:val="24"/>
          <w:highlight w:val="none"/>
          <w:lang w:val="en-US" w:eastAsia="zh-CN"/>
        </w:rPr>
        <w:t xml:space="preserve">高于</w:t>
      </w:r>
      <w:r>
        <w:rPr>
          <w:rFonts w:hint="eastAsia" w:ascii="宋体" w:hAnsi="宋体" w:eastAsia="宋体" w:cs="宋体"/>
          <w:b w:val="0"/>
          <w:bCs w:val="0"/>
          <w:color w:val="auto"/>
          <w:sz w:val="24"/>
          <w:szCs w:val="24"/>
          <w:highlight w:val="none"/>
          <w:lang w:val="en-US" w:eastAsia="zh-CN"/>
        </w:rPr>
        <w:t xml:space="preserve">25000吨/年，污泥日产生量约</w:t>
      </w:r>
      <w:r>
        <w:rPr>
          <w:rFonts w:hint="eastAsia" w:ascii="宋体" w:hAnsi="宋体" w:eastAsia="宋体" w:cs="宋体"/>
          <w:b w:val="0"/>
          <w:bCs w:val="0"/>
          <w:color w:val="auto"/>
          <w:sz w:val="24"/>
          <w:szCs w:val="24"/>
          <w:highlight w:val="none"/>
          <w:lang w:val="en-US" w:eastAsia="zh-CN"/>
        </w:rPr>
        <w:t xml:space="preserve">68吨/日</w:t>
      </w:r>
      <w:r>
        <w:rPr>
          <w:rFonts w:hint="eastAsia" w:ascii="宋体" w:hAnsi="宋体" w:eastAsia="宋体" w:cs="宋体"/>
          <w:b w:val="0"/>
          <w:bCs w:val="0"/>
          <w:color w:val="auto"/>
          <w:sz w:val="24"/>
          <w:szCs w:val="24"/>
          <w:highlight w:val="none"/>
          <w:lang w:val="en-US" w:eastAsia="zh-CN"/>
        </w:rPr>
        <w:t xml:space="preserve">，污泥出厂含水率约75%-85%。</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若城北污水处理厂污泥含水率不在投标人处置能力批复的含水率范围内的，中标人须自行采用压滤、添加添加物等方式进行预处理，确保污泥含水率符合自身处置能力后再进行处置（在运输过程中严禁出现滴漏、散落、丢弃等情况）。如采用压滤、添加添加物的方式进行预处理的，压滤费用、添加物的重量及费用等不参与结算，由投标人自行承担。因中标人自身原因，超出批准处置能力范围的情况下强行处置污泥的，所带来的一切责任后果由投标人自行承担。</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2.处置标准：</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达到《中华人民共和国固体废物污染环境防治法》、《污泥无害化处理和资源化利用实施方</w:t>
      </w:r>
      <w:r>
        <w:rPr>
          <w:rFonts w:hint="eastAsia" w:ascii="宋体" w:hAnsi="宋体" w:eastAsia="宋体" w:cs="宋体"/>
          <w:b w:val="0"/>
          <w:bCs w:val="0"/>
          <w:color w:val="auto"/>
          <w:sz w:val="24"/>
          <w:szCs w:val="24"/>
          <w:highlight w:val="none"/>
          <w:lang w:val="en-US" w:eastAsia="zh-CN"/>
        </w:rPr>
        <w:t xml:space="preserve">案（发改环资〔2022〕1453号）和《城镇污水处理厂污泥处理处置污染防治最佳可行技术指南（试行）》（HJ-BAT-002）、《城市污水处理厂污泥检验方法》（CJ/T 221-2005）、《环境监测技术规范》、《土壤监测分析方法》、《水和污水监测分析方法》、《空气与废气监测分析方法》、《省政府办公厅关于印发江苏省环境基础设施三年建设方案（2018-2020年）的通知》等相关政策法规的规定。如项目实施过程中有新颁布的新标准或方法，中标人须无条件按新标准、新规范执行，并按期完成任务，相关标准也作为验收标准使用。</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合同履行过程中，如因中标人的处置能力、处置工艺、处置标准及环境卫生等不符合主管部门要求的，受到主管部门处罚的，由中标人自行承担解决；由此影响本项目污泥正常处置的，采购人有权解除合同，由此给采购人带来的损失，全部由中标人承担；为保证污水处理厂的正常运行，采购人可以按照评审报告推荐的中标候选人名单排序，确定下一候选人为中标供应商，也可以重新开展政府采购活动。</w:t>
      </w:r>
      <w:r/>
    </w:p>
    <w:p>
      <w:pPr>
        <w:numPr>
          <w:ilvl w:val="0"/>
          <w:numId w:val="0"/>
        </w:numPr>
        <w:ind w:right="0" w:firstLine="482"/>
        <w:jc w:val="both"/>
        <w:keepLines w:val="0"/>
        <w:keepNext w:val="0"/>
        <w:pageBreakBefore w:val="0"/>
        <w:spacing w:line="500" w:lineRule="exact"/>
        <w:widowControl w:val="off"/>
        <w:rPr>
          <w:rFonts w:hint="default"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三、其他相关要求</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本项目采购人选定的污泥处置方式为含焚烧工艺的方法处置（包括单独焚烧、水泥窑协同处置、热电厂协同处置、污泥与生活垃圾混烧、制烧结砖、污泥烧制陶粒等），其余处置方式均不予认可，处置过程不得对环境造成二次污染。污泥处置工艺成熟，系统运行稳定，污泥处置设备设施环保措施符合国家和环保部门要求，污泥处置后的产物应符合国家和地方相关部门要求，中标单位须具备与本项目相适应的且符合环保要求的贮存、处置能力，并具备一定应急调蓄储存能力，在紧急情况下，可储存一定量污泥。 </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2.城北污水处理厂执行24小时脱泥，中标单位须及时将污泥装车，城北污水处理厂厂区道路清扫每周至少一次。</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3.中标人须配备运输车辆到污水处理厂污泥收集点直接运输污泥，并进行过磅称重，确定每车污泥的重量，过磅重量必须有污水处理厂代表签名确认。从污泥收集点至规范化处置点的外运途中不得有“抛冒滴漏”现象，不得运卸、堆放至非处置地点，不得造成二次污染，</w:t>
      </w:r>
      <w:r>
        <w:rPr>
          <w:rFonts w:hint="eastAsia" w:ascii="宋体" w:hAnsi="宋体" w:eastAsia="宋体" w:cs="宋体"/>
          <w:b w:val="0"/>
          <w:bCs w:val="0"/>
          <w:color w:val="auto"/>
          <w:sz w:val="24"/>
          <w:szCs w:val="24"/>
          <w:highlight w:val="none"/>
          <w:lang w:val="en-US" w:eastAsia="zh-CN"/>
        </w:rPr>
        <w:t xml:space="preserve">如发现未密闭运输有抛洒滴漏现象的，扣除2000元/次，累计发现超过5次的，采购人有权扣除全部履约保证金并终止合同。</w:t>
      </w:r>
      <w:r>
        <w:rPr>
          <w:rFonts w:hint="eastAsia" w:ascii="宋体" w:hAnsi="宋体" w:eastAsia="宋体" w:cs="宋体"/>
          <w:b w:val="0"/>
          <w:bCs w:val="0"/>
          <w:color w:val="auto"/>
          <w:sz w:val="24"/>
          <w:szCs w:val="24"/>
          <w:highlight w:val="none"/>
          <w:lang w:val="en-US" w:eastAsia="zh-CN"/>
        </w:rPr>
        <w:t xml:space="preserve">采购人有权对中标人的污泥收集、运输、无害处理过程进行检查监督，检查时，中标人须提供污泥收集、运输、无害处理过程台账（包括公司内部处理过程台账），确保可溯源，严禁弄虚作假。</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4.中标人负责把脱水后污泥直接从污水处理</w:t>
      </w:r>
      <w:r>
        <w:rPr>
          <w:rFonts w:hint="eastAsia" w:ascii="宋体" w:hAnsi="宋体" w:eastAsia="宋体" w:cs="宋体"/>
          <w:b w:val="0"/>
          <w:bCs w:val="0"/>
          <w:color w:val="auto"/>
          <w:sz w:val="24"/>
          <w:szCs w:val="24"/>
          <w:highlight w:val="none"/>
          <w:lang w:val="en-US" w:eastAsia="zh-CN"/>
        </w:rPr>
        <w:t xml:space="preserve">厂运输至处理点进行无害化处理，负责对污泥进行后续运输和处理处置，实现污水处理厂污泥稳定化、无害化。中标人需提供污泥运输路线图，除封路绕行等特殊情况外污泥运输必须按约定路线进行运输。中标人包干所有费用（即包括所需要的污泥运输和处理处置费、装卸费、道路清扫费、人工费、机械费、管理费、保险、各项规费、利润、各项税费、有关文件规定的政策性调价等完成本项目所涉及的全部费用），同时，期间所发生的一切安全及环保等问题，由中标人负责。在服务期限内中标人自行负责进行全过程污泥运输和处置，并承担由此产生的相应费用和责任及风险。</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5.在委托服务期内，中标人应配合采购人做好污泥转运联单的填报，真实有效地将地磅计量记录于污泥转运联单上并盖章确认，同时中标人也应配合采购人做好污泥转运联单的环保备案。</w:t>
      </w:r>
      <w:r>
        <w:rPr>
          <w:rFonts w:hint="eastAsia" w:ascii="宋体" w:hAnsi="宋体" w:eastAsia="宋体" w:cs="宋体"/>
          <w:b w:val="0"/>
          <w:bCs w:val="0"/>
          <w:color w:val="auto"/>
          <w:sz w:val="24"/>
          <w:szCs w:val="24"/>
          <w:highlight w:val="none"/>
          <w:lang w:val="en-US" w:eastAsia="zh-CN"/>
        </w:rPr>
        <w:t xml:space="preserve">未及时配合的扣除1000元/次。</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6.中标人在污泥处置过程中临时碰到困难（含检修、改造、天气原因等），导致四十八小时内无法及时接收处置污泥，应书面告知采购人，中标人可与政府有关部门认可的有资质的污泥处置单位进行协商，协力共同处置污泥并签订污泥应急处置协议，向采购人报备，经采购人同意后方可实施。</w:t>
      </w:r>
      <w:r>
        <w:rPr>
          <w:rFonts w:hint="eastAsia" w:ascii="宋体" w:hAnsi="宋体" w:eastAsia="宋体" w:cs="宋体"/>
          <w:b w:val="0"/>
          <w:bCs w:val="0"/>
          <w:color w:val="auto"/>
          <w:sz w:val="24"/>
          <w:szCs w:val="24"/>
          <w:highlight w:val="none"/>
          <w:lang w:val="en-US" w:eastAsia="zh-CN"/>
        </w:rPr>
        <w:t xml:space="preserve">无特殊原因，超过四十八小时未进行外运的，每次扣除5000元。</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7.中标人在污泥处置过程中临时碰到困难（含检修、改造、天气原因等），导致污泥积压在污水处理厂内（以污泥无法正常外运处置超过四十八小时为限），采购人认为已存在一定安全隐患的，有权在未经中标人许可的情况下，将该污水处理厂的污泥运往政府有关部门认可的有资质的污泥处置单位进行应急处置，该处置情况所发生的费用从中标人处置费中扣除。</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8.中标人须提供符合现场运输条件的卡车，严禁超载，车辆须固定，如需更换，须经采购人同意，中标人每辆车须安装GPS，信号接入泰州市污水处理设施监管平台，另外GPS轨迹能通过其他方式供采购人查询，运输时必须全程开启并确保运行正常，中标人在污泥处置过程中，污泥车辆运输轨迹应与监管平台显示一致，如监管平台未能显示实际运输轨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或运输轨迹存在异常</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乙方须在一个月内提供甲方认可的证明材料，否则</w:t>
      </w:r>
      <w:r>
        <w:rPr>
          <w:rFonts w:hint="eastAsia" w:ascii="宋体" w:hAnsi="宋体" w:eastAsia="宋体" w:cs="宋体"/>
          <w:color w:val="000000" w:themeColor="text1"/>
          <w:sz w:val="24"/>
          <w:szCs w:val="24"/>
          <w:highlight w:val="none"/>
          <w14:textFill>
            <w14:solidFill>
              <w14:schemeClr w14:val="tx1"/>
            </w14:solidFill>
          </w14:textFill>
        </w:rPr>
        <w:t xml:space="preserve">每车次扣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00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元。</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9.中标人在城北污水处理厂内进行污泥装载和运输过程中，需谨慎慢速行驶，一旦对厂区道路及其他设施发生破坏后，需及时修复，未及时修复按损坏价值予以处罚，在结算时扣除。</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10.中标人不得在处置地随意倾倒污泥或将污泥作投标处置方式外的其他用途，采购人和污水处理厂可随时抽查运输处置情况，如发现或被举报核实中标人有随意倾倒污泥等违法行为，采购人可立即解除合同，并扣除全部履约保证金，如造成环境二次污染等情况，中标人将承担相应的法律责任，同时承担环境修复所产生的一切费用。</w:t>
      </w:r>
      <w:r/>
    </w:p>
    <w:p>
      <w:pPr>
        <w:numPr>
          <w:ilvl w:val="0"/>
          <w:numId w:val="0"/>
        </w:numPr>
        <w:ind w:right="0" w:firstLine="482"/>
        <w:jc w:val="both"/>
        <w:keepLines w:val="0"/>
        <w:keepNext w:val="0"/>
        <w:pageBreakBefore w:val="0"/>
        <w:spacing w:line="500" w:lineRule="exact"/>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四、商务</w:t>
      </w:r>
      <w:r>
        <w:rPr>
          <w:rFonts w:hint="eastAsia" w:ascii="宋体" w:hAnsi="宋体" w:eastAsia="宋体" w:cs="宋体"/>
          <w:b/>
          <w:bCs/>
          <w:color w:val="auto"/>
          <w:sz w:val="24"/>
          <w:szCs w:val="24"/>
          <w:highlight w:val="none"/>
        </w:rPr>
        <w:t xml:space="preserve">要求：</w:t>
      </w:r>
      <w:r/>
    </w:p>
    <w:p>
      <w:pPr>
        <w:numPr>
          <w:ilvl w:val="0"/>
          <w:numId w:val="0"/>
        </w:numPr>
        <w:ind w:right="0" w:firstLine="480"/>
        <w:jc w:val="both"/>
        <w:keepLines w:val="0"/>
        <w:keepNext w:val="0"/>
        <w:pageBreakBefore w:val="0"/>
        <w:spacing w:line="500" w:lineRule="exact"/>
        <w:widowControl w:val="off"/>
        <w:rPr>
          <w:rFonts w:hint="default"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1.服务时间：</w:t>
      </w:r>
      <w:r>
        <w:rPr>
          <w:rFonts w:hint="eastAsia" w:ascii="宋体" w:hAnsi="宋体" w:eastAsia="宋体" w:cs="宋体"/>
          <w:b w:val="0"/>
          <w:bCs w:val="0"/>
          <w:color w:val="auto"/>
          <w:sz w:val="24"/>
          <w:szCs w:val="24"/>
          <w:highlight w:val="none"/>
          <w:lang w:val="en-US" w:eastAsia="zh-CN"/>
        </w:rPr>
        <w:t xml:space="preserve">2027年1月1日至2027年12月31日</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2.本项目采购合同形式为固定单价合同，投标人任何漏项、漏报、少报、错报所产生的后果，均由投标人承担责任。本次招标的污泥处置量为暂定量，最终结算以实际处置量为准。</w:t>
      </w:r>
      <w:r/>
    </w:p>
    <w:p>
      <w:pPr>
        <w:ind w:firstLine="480"/>
        <w:jc w:val="both"/>
        <w:keepLines w:val="0"/>
        <w:keepNext w:val="0"/>
        <w:pageBreakBefore w:val="0"/>
        <w:spacing w:line="500" w:lineRule="exact"/>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eastAsia="zh-CN"/>
        </w:rPr>
        <w:t xml:space="preserve">3.最高单价限价为300元/吨，城镇污水处理污泥年产生量暂定25000吨/年，最高限价总价暂定750万元。各投标人的报价不得高于最高限价，否则作无效投标处理。</w:t>
      </w:r>
      <w:r/>
    </w:p>
    <w:p>
      <w:pPr>
        <w:ind w:firstLine="480"/>
        <w:keepLines w:val="0"/>
        <w:keepNext w:val="0"/>
        <w:pageBreakBefore w:val="0"/>
        <w:spacing w:line="5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投标报价中应包含</w:t>
      </w:r>
      <w:r>
        <w:rPr>
          <w:rFonts w:hint="eastAsia" w:ascii="宋体" w:hAnsi="宋体" w:eastAsia="宋体" w:cs="宋体"/>
          <w:color w:val="auto"/>
          <w:sz w:val="24"/>
          <w:szCs w:val="24"/>
          <w:highlight w:val="none"/>
          <w:lang w:val="en-US" w:eastAsia="zh-CN"/>
        </w:rPr>
        <w:t xml:space="preserve">所需要的污泥运输和处理处置费、装卸费、道路清扫费、人工费、机械费、管理费、保险、各项规费、利润、各项税费、有关文件规定的政策性调价等完成本项目所涉及的全部费用。投标人要认真阅读清单，慎重报价，采购人不再支付报价以外的任何费用。</w:t>
      </w:r>
      <w:r/>
    </w:p>
    <w:p>
      <w:pPr>
        <w:ind w:firstLine="480"/>
        <w:keepLines w:val="0"/>
        <w:keepNext w:val="0"/>
        <w:pageBreakBefore w:val="0"/>
        <w:spacing w:line="5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5.合同形式：固定单价合同，工程量按实结算。</w:t>
      </w:r>
      <w:r/>
    </w:p>
    <w:p>
      <w:pPr>
        <w:ind w:firstLine="480"/>
        <w:keepLines w:val="0"/>
        <w:keepNext w:val="0"/>
        <w:pageBreakBefore w:val="0"/>
        <w:spacing w:line="500" w:lineRule="exact"/>
        <w:rPr>
          <w:rFonts w:hint="eastAsia" w:ascii="宋体" w:hAnsi="宋体" w:eastAsia="宋体" w:cs="宋体"/>
          <w:color w:val="auto"/>
          <w:sz w:val="24"/>
          <w:szCs w:val="24"/>
          <w:highlight w:val="none"/>
          <w:lang w:val="zh-CN" w:eastAsia="zh-CN"/>
        </w:rPr>
        <w:outlineLvl w:val="9"/>
      </w:pPr>
      <w:r>
        <w:rPr>
          <w:rFonts w:hint="eastAsia" w:ascii="宋体" w:hAnsi="宋体" w:eastAsia="宋体" w:cs="宋体"/>
          <w:color w:val="auto"/>
          <w:sz w:val="24"/>
          <w:szCs w:val="24"/>
          <w:highlight w:val="none"/>
          <w:lang w:val="en-US" w:eastAsia="zh-CN"/>
        </w:rPr>
        <w:t xml:space="preserve">6.付款方式：</w:t>
      </w:r>
      <w:r>
        <w:rPr>
          <w:rFonts w:hint="eastAsia" w:ascii="宋体" w:hAnsi="宋体" w:eastAsia="宋体" w:cs="宋体"/>
          <w:color w:val="auto"/>
          <w:sz w:val="24"/>
          <w:szCs w:val="24"/>
          <w:highlight w:val="none"/>
          <w:lang w:val="zh-CN" w:eastAsia="zh-CN"/>
        </w:rPr>
        <w:t xml:space="preserve">按实际处置数量乘以中标单价按每三个月结算一次，减去每三个月扣除费用（如发生）进行结算。（所涉及款项皆不计取利息）</w:t>
      </w:r>
      <w:r/>
    </w:p>
    <w:p>
      <w:pPr>
        <w:ind w:firstLine="480"/>
        <w:keepLines w:val="0"/>
        <w:keepNext w:val="0"/>
        <w:pageBreakBefore w:val="0"/>
        <w:spacing w:line="5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zh-CN" w:eastAsia="zh-CN"/>
        </w:rPr>
        <w:t xml:space="preserve">特别约定：具体付款时间节点财政部门另有要求的以财政部门要求为准。</w:t>
      </w:r>
      <w:r/>
    </w:p>
    <w:p>
      <w:pPr>
        <w:ind w:firstLine="480"/>
        <w:jc w:val="both"/>
        <w:keepLines w:val="0"/>
        <w:keepNext w:val="0"/>
        <w:pageBreakBefore w:val="0"/>
        <w:spacing w:line="50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7.履约保证金：</w:t>
      </w:r>
      <w:r/>
    </w:p>
    <w:p>
      <w:pPr>
        <w:ind w:firstLine="480"/>
        <w:jc w:val="both"/>
        <w:keepLines w:val="0"/>
        <w:keepNext w:val="0"/>
        <w:pageBreakBefore w:val="0"/>
        <w:spacing w:line="50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按照</w:t>
      </w:r>
      <w:r>
        <w:rPr>
          <w:rFonts w:hint="eastAsia" w:ascii="宋体" w:hAnsi="宋体" w:eastAsia="宋体" w:cs="宋体"/>
          <w:color w:val="000000"/>
          <w:sz w:val="24"/>
          <w:szCs w:val="24"/>
          <w:highlight w:val="none"/>
        </w:rPr>
        <w:t xml:space="preserve">中标价的10%</w:t>
      </w:r>
      <w:r>
        <w:rPr>
          <w:rFonts w:hint="eastAsia" w:ascii="宋体" w:hAnsi="宋体" w:eastAsia="宋体" w:cs="宋体"/>
          <w:color w:val="auto"/>
          <w:sz w:val="24"/>
          <w:szCs w:val="24"/>
          <w:highlight w:val="none"/>
          <w:lang w:val="en-US" w:eastAsia="zh-CN"/>
        </w:rPr>
        <w:t xml:space="preserve">计取，履约保证金在</w:t>
      </w:r>
      <w:r>
        <w:rPr>
          <w:rFonts w:hint="eastAsia" w:ascii="宋体" w:hAnsi="宋体" w:eastAsia="宋体" w:cs="宋体"/>
          <w:bCs/>
          <w:color w:val="auto"/>
          <w:sz w:val="24"/>
          <w:szCs w:val="24"/>
          <w:highlight w:val="none"/>
        </w:rPr>
        <w:t xml:space="preserve">中标后签订合同前中标人</w:t>
      </w:r>
      <w:r>
        <w:rPr>
          <w:rFonts w:hint="eastAsia" w:ascii="宋体" w:hAnsi="宋体" w:eastAsia="宋体" w:cs="宋体"/>
          <w:color w:val="auto"/>
          <w:sz w:val="24"/>
          <w:szCs w:val="24"/>
          <w:highlight w:val="none"/>
        </w:rPr>
        <w:t xml:space="preserve">自主选择</w:t>
      </w:r>
      <w:r>
        <w:rPr>
          <w:rFonts w:hint="eastAsia" w:ascii="宋体" w:hAnsi="宋体" w:eastAsia="宋体" w:cs="宋体"/>
          <w:b w:val="0"/>
          <w:bCs w:val="0"/>
          <w:color w:val="auto"/>
          <w:sz w:val="24"/>
          <w:szCs w:val="24"/>
          <w:highlight w:val="none"/>
          <w:lang w:val="en-US" w:eastAsia="zh-CN" w:bidi="ar-SA"/>
        </w:rPr>
        <w:t xml:space="preserve">电汇、转账、支票、汇票、本票、保函</w:t>
      </w:r>
      <w:r>
        <w:rPr>
          <w:rFonts w:hint="eastAsia" w:ascii="宋体" w:hAnsi="宋体" w:eastAsia="宋体" w:cs="宋体"/>
          <w:color w:val="auto"/>
          <w:szCs w:val="24"/>
          <w:highlight w:val="none"/>
        </w:rPr>
        <w:t xml:space="preserve">等非现金形式</w:t>
      </w:r>
      <w:r>
        <w:rPr>
          <w:rFonts w:hint="eastAsia" w:ascii="宋体" w:hAnsi="宋体" w:eastAsia="宋体" w:cs="宋体"/>
          <w:color w:val="auto"/>
          <w:sz w:val="24"/>
          <w:szCs w:val="24"/>
          <w:highlight w:val="none"/>
        </w:rPr>
        <w:t xml:space="preserve">缴纳或提交至</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指定账户</w:t>
      </w:r>
      <w:r>
        <w:rPr>
          <w:rFonts w:hint="eastAsia" w:ascii="宋体" w:hAnsi="宋体" w:eastAsia="宋体" w:cs="宋体"/>
          <w:color w:val="auto"/>
          <w:sz w:val="24"/>
          <w:szCs w:val="24"/>
          <w:highlight w:val="none"/>
          <w:lang w:val="en-US" w:eastAsia="zh-CN"/>
        </w:rPr>
        <w:t xml:space="preserve">，在项目服务期满后一次性退还（无息）。</w:t>
      </w:r>
      <w:r/>
    </w:p>
    <w:p>
      <w:pPr>
        <w:ind w:firstLine="480"/>
        <w:jc w:val="both"/>
        <w:keepLines w:val="0"/>
        <w:keepNext w:val="0"/>
        <w:pageBreakBefore w:val="0"/>
        <w:spacing w:line="50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如采用电子履约保函，则相关要求执行市财政局 国家金融监督管理总局泰州监管分局 市地方金融监督管理局转发《江苏省财政厅 国家金融监督管理总局江苏监管局 江苏省地方金融监督管理局关于在全省政府采购领域推行电子履约保函（保险）的通知》。</w:t>
      </w:r>
      <w:bookmarkEnd w:id="43"/>
      <w:r/>
      <w:bookmarkEnd w:id="44"/>
      <w:r/>
      <w:r/>
    </w:p>
    <w:p>
      <w:pPr>
        <w:pStyle w:val="970"/>
        <w:numPr>
          <w:ilvl w:val="0"/>
          <w:numId w:val="0"/>
        </w:numPr>
        <w:jc w:val="center"/>
        <w:spacing w:before="0" w:after="0" w:line="360" w:lineRule="auto"/>
        <w:rPr>
          <w:rFonts w:hint="eastAsia" w:ascii="宋体" w:hAnsi="宋体" w:eastAsia="宋体" w:cs="宋体"/>
          <w:b/>
          <w:color w:val="auto"/>
          <w:sz w:val="32"/>
          <w:szCs w:val="32"/>
          <w:highlight w:val="none"/>
        </w:rPr>
      </w:pPr>
      <w:r/>
      <w:bookmarkStart w:id="45" w:name="_Toc409438821"/>
      <w:r/>
      <w:bookmarkStart w:id="46" w:name="_Toc388026588"/>
      <w:r/>
      <w:bookmarkStart w:id="47" w:name="OLE_LINK32"/>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70"/>
        <w:numPr>
          <w:ilvl w:val="0"/>
          <w:numId w:val="0"/>
        </w:numPr>
        <w:jc w:val="center"/>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第四章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 评标办法及标准</w:t>
      </w:r>
      <w:bookmarkEnd w:id="45"/>
      <w:r/>
      <w:bookmarkEnd w:id="46"/>
      <w:r/>
      <w:bookmarkEnd w:id="47"/>
      <w:r/>
      <w:r/>
    </w:p>
    <w:p>
      <w:pPr>
        <w:pStyle w:val="1039"/>
        <w:ind w:firstLine="480"/>
        <w:keepLines w:val="0"/>
        <w:keepNext w:val="0"/>
        <w:pageBreakBefore w:val="0"/>
        <w:spacing w:line="520" w:lineRule="exact"/>
        <w:widowControl w:val="off"/>
        <w:rPr>
          <w:rFonts w:hint="eastAsia" w:ascii="宋体" w:hAnsi="宋体" w:eastAsia="宋体" w:cs="宋体"/>
          <w:color w:val="auto"/>
          <w:sz w:val="24"/>
          <w:szCs w:val="18"/>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本次招标评标采用</w:t>
      </w:r>
      <w:r>
        <w:rPr>
          <w:rFonts w:hint="eastAsia" w:ascii="宋体" w:hAnsi="宋体" w:eastAsia="宋体" w:cs="宋体"/>
          <w:color w:val="auto"/>
          <w:sz w:val="24"/>
          <w:szCs w:val="24"/>
          <w:highlight w:val="none"/>
          <w:u w:val="single"/>
        </w:rPr>
        <w:t xml:space="preserve">综合评分法</w:t>
      </w:r>
      <w:r>
        <w:rPr>
          <w:rFonts w:hint="eastAsia" w:ascii="宋体" w:hAnsi="宋体" w:eastAsia="宋体" w:cs="宋体"/>
          <w:color w:val="auto"/>
          <w:sz w:val="24"/>
          <w:szCs w:val="24"/>
          <w:highlight w:val="none"/>
        </w:rPr>
        <w:t xml:space="preserve">。即在满足招标文件实质性要求前提下，按照招标文件中规定的评分标准和各项因素进行综合评审后，以评标总得分最高的投标人作为中标候选供应商或中标人。</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评标时，评标委员会成员按照招标文件规定的评分标准，独立对每个投标人的投标文件进行评价、打分。价格得分按相关规定的计算公式直接计算取得。评分过程中采用“四舍五入”法，并保留小数点后2位。</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评分标准：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（1）评标采用综合评分法。</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（2）评标考虑的主要因素及其权值：</w:t>
      </w:r>
      <w:r>
        <w:rPr>
          <w:rFonts w:hint="eastAsia" w:ascii="宋体" w:hAnsi="宋体" w:eastAsia="宋体" w:cs="宋体"/>
          <w:color w:val="auto"/>
          <w:sz w:val="24"/>
          <w:szCs w:val="24"/>
          <w:highlight w:val="none"/>
          <w:lang w:val="en-US" w:eastAsia="zh-CN"/>
        </w:rPr>
        <w:t xml:space="preserve">详见评分细则。</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价格扣除：供应商为小微企业或监狱企业或残疾人福利性单位的，享受10%价格扣除。</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按要求填写或未提交则不享受相关小微企业价格扣除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按要求填写或未提交则不享受相关价格扣除政策。</w:t>
      </w:r>
      <w:r/>
    </w:p>
    <w:p>
      <w:pPr>
        <w:pStyle w:val="744"/>
        <w:ind w:firstLine="480"/>
        <w:keepLines w:val="0"/>
        <w:keepNext w:val="0"/>
        <w:pageBreakBefore w:val="0"/>
        <w:spacing w:line="520" w:lineRule="exact"/>
        <w:widowControl w:val="off"/>
        <w:rPr>
          <w:rFonts w:hint="eastAsia" w:ascii="宋体" w:hAnsi="宋体" w:eastAsia="宋体" w:cs="宋体"/>
          <w:b/>
          <w:bCs/>
          <w:color w:val="auto"/>
          <w:sz w:val="24"/>
          <w:szCs w:val="28"/>
          <w:highlight w:val="none"/>
          <w:lang w:val="en-US" w:eastAsia="zh-CN"/>
        </w:rPr>
      </w:pPr>
      <w:r>
        <w:rPr>
          <w:rFonts w:hint="eastAsia" w:ascii="宋体" w:hAnsi="宋体" w:eastAsia="宋体" w:cs="宋体"/>
          <w:color w:val="auto"/>
          <w:sz w:val="24"/>
          <w:szCs w:val="24"/>
          <w:highlight w:val="none"/>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按要求填写或未提交则不享受相关价格扣除政策。监狱企业属于小型、微型企业的，不重复享受政策。</w:t>
      </w:r>
      <w:r/>
    </w:p>
    <w:p>
      <w:pPr>
        <w:ind w:left="0" w:firstLine="480"/>
        <w:pageBreakBefore w:val="0"/>
        <w:spacing w:line="520" w:lineRule="exact"/>
        <w:widowControl w:val="off"/>
        <w:tabs>
          <w:tab w:val="left" w:pos="90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szCs w:val="28"/>
          <w:highlight w:val="none"/>
          <w:lang w:val="en-US" w:eastAsia="zh-CN"/>
        </w:rPr>
        <w:t xml:space="preserve">5.</w:t>
      </w:r>
      <w:r>
        <w:rPr>
          <w:rFonts w:hint="eastAsia" w:ascii="宋体" w:hAnsi="宋体" w:eastAsia="宋体" w:cs="宋体"/>
          <w:b w:val="0"/>
          <w:bCs w:val="0"/>
          <w:color w:val="auto"/>
          <w:sz w:val="24"/>
          <w:highlight w:val="none"/>
        </w:rPr>
        <w:t xml:space="preserve">关于异常低价的审查</w:t>
      </w:r>
      <w:r/>
    </w:p>
    <w:p>
      <w:pPr>
        <w:ind w:left="0" w:firstLine="480"/>
        <w:pageBreakBefore w:val="0"/>
        <w:spacing w:line="52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根据财库〔2026〕2号文《财政部关于推动解决政府采购异常低价问题的通知》：</w:t>
      </w:r>
      <w:r/>
    </w:p>
    <w:p>
      <w:pPr>
        <w:ind w:left="0" w:firstLine="480"/>
        <w:pageBreakBefore w:val="0"/>
        <w:spacing w:line="52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（1）政府采购评审中出现下列情形之一的，评审委员会应当启动异常低价投标（响应）审查程序：</w:t>
      </w:r>
      <w:r/>
    </w:p>
    <w:p>
      <w:pPr>
        <w:ind w:left="0" w:firstLine="480"/>
        <w:pageBreakBefore w:val="0"/>
        <w:spacing w:line="52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①投标（响应）报价低于全部通过符合性审查供应商投标（响应）报价平均值50%的，即投标（响应）报价&lt;全部通过符合性审查供应商投标（响应）报价平均值</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50%；</w:t>
      </w:r>
      <w:r/>
    </w:p>
    <w:p>
      <w:pPr>
        <w:ind w:left="0" w:firstLine="480"/>
        <w:pageBreakBefore w:val="0"/>
        <w:spacing w:line="52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②投标（响应）报价低于通过符合性审查的次低报价供应商投标（响应）报价50%的，即投标（响应）报价&lt;通过符合性审查的次低报价供应商投标（响应）报价</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50%；</w:t>
      </w:r>
      <w:r/>
    </w:p>
    <w:p>
      <w:pPr>
        <w:ind w:left="0" w:firstLine="480"/>
        <w:pageBreakBefore w:val="0"/>
        <w:spacing w:line="52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③投标（响应）报价低于采购项目最高限价45%的，即投标（响应）报价&lt;采购项目最高限价</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45%；</w:t>
      </w:r>
      <w:r/>
    </w:p>
    <w:p>
      <w:pPr>
        <w:ind w:left="0" w:firstLine="480"/>
        <w:pageBreakBefore w:val="0"/>
        <w:spacing w:line="52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④评审委员会基于专业判断，认为供应商报价过低，有可能影响产品质量或者不能诚信履约的其他情形。</w:t>
      </w:r>
      <w:r/>
    </w:p>
    <w:p>
      <w:pPr>
        <w:ind w:left="0" w:firstLine="480"/>
        <w:pageBreakBefore w:val="0"/>
        <w:spacing w:line="52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pageBreakBefore w:val="0"/>
        <w:spacing w:line="52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pageBreakBefore w:val="0"/>
        <w:spacing w:line="52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44"/>
        <w:ind w:firstLine="480"/>
        <w:keepLines w:val="0"/>
        <w:keepNext w:val="0"/>
        <w:pageBreakBefore w:val="0"/>
        <w:spacing w:line="520" w:lineRule="exact"/>
        <w:widowControl w:val="off"/>
        <w:rPr>
          <w:rFonts w:hint="eastAsia" w:ascii="宋体" w:hAnsi="宋体" w:eastAsia="宋体" w:cs="宋体"/>
          <w:b/>
          <w:bCs/>
          <w:color w:val="auto"/>
          <w:sz w:val="24"/>
          <w:szCs w:val="28"/>
          <w:highlight w:val="none"/>
          <w:lang w:val="en-US" w:eastAsia="zh-CN"/>
        </w:rPr>
      </w:pPr>
      <w:r>
        <w:rPr>
          <w:rFonts w:hint="eastAsia" w:ascii="宋体" w:hAnsi="宋体" w:eastAsia="宋体" w:cs="宋体"/>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评标委员会应根据各投标人的最终得分，按照从高到低的顺序进行排序。当投标人最终得分相同时，投标报价低者居前，如投标报价也相同，技术得分高者居前，如技术得分也相同，招标人可抽签确定中标人。</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确定中标候选人：根据各投标人的排序，评标委员会应在评标报告中推选前3名作为中标候选人。</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确定中标人：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pStyle w:val="744"/>
        <w:ind w:firstLine="480"/>
        <w:keepLines w:val="0"/>
        <w:keepNext w:val="0"/>
        <w:pageBreakBefore w:val="0"/>
        <w:spacing w:line="520" w:lineRule="exact"/>
        <w:widowControl w:val="off"/>
        <w:rPr>
          <w:rFonts w:hint="eastAsia" w:ascii="宋体" w:hAnsi="宋体" w:eastAsia="宋体" w:cs="宋体"/>
          <w:b/>
          <w:bCs/>
          <w:color w:val="auto"/>
          <w:sz w:val="24"/>
          <w:szCs w:val="28"/>
          <w:highlight w:val="none"/>
          <w:lang w:val="en-US"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本办法未尽事宜，由评标委员会依据有关法规研究解决。</w:t>
      </w:r>
      <w:r/>
    </w:p>
    <w:p>
      <w:pPr>
        <w:pStyle w:val="744"/>
        <w:ind w:firstLine="482"/>
        <w:keepLines w:val="0"/>
        <w:keepNext w:val="0"/>
        <w:pageBreakBefore w:val="0"/>
        <w:spacing w:line="520" w:lineRule="exact"/>
        <w:widowControl w:val="off"/>
        <w:rPr>
          <w:rFonts w:hint="eastAsia" w:ascii="宋体" w:hAnsi="宋体" w:eastAsia="宋体" w:cs="宋体"/>
          <w:b/>
          <w:bCs/>
          <w:color w:val="auto"/>
          <w:sz w:val="24"/>
          <w:szCs w:val="28"/>
          <w:highlight w:val="none"/>
          <w:lang w:val="en-US" w:eastAsia="zh-CN"/>
        </w:rPr>
      </w:pPr>
      <w:r>
        <w:rPr>
          <w:rFonts w:hint="eastAsia" w:ascii="宋体" w:hAnsi="宋体" w:eastAsia="宋体" w:cs="宋体"/>
          <w:b/>
          <w:bCs/>
          <w:color w:val="auto"/>
          <w:sz w:val="24"/>
          <w:szCs w:val="28"/>
          <w:highlight w:val="none"/>
          <w:lang w:val="en-US" w:eastAsia="zh-CN"/>
        </w:rPr>
      </w:r>
      <w:r/>
    </w:p>
    <w:p>
      <w:pPr>
        <w:pStyle w:val="744"/>
        <w:ind w:firstLine="482"/>
        <w:keepLines w:val="0"/>
        <w:keepNext w:val="0"/>
        <w:pageBreakBefore w:val="0"/>
        <w:spacing w:line="520" w:lineRule="exact"/>
        <w:widowControl w:val="off"/>
        <w:rPr>
          <w:rFonts w:hint="eastAsia" w:ascii="宋体" w:hAnsi="宋体" w:eastAsia="宋体" w:cs="宋体"/>
          <w:b/>
          <w:bCs/>
          <w:color w:val="auto"/>
          <w:sz w:val="24"/>
          <w:szCs w:val="28"/>
          <w:highlight w:val="none"/>
          <w:lang w:val="en-US" w:eastAsia="zh-CN"/>
        </w:rPr>
      </w:pPr>
      <w:r>
        <w:rPr>
          <w:rFonts w:hint="eastAsia" w:ascii="宋体" w:hAnsi="宋体" w:eastAsia="宋体" w:cs="宋体"/>
          <w:b/>
          <w:bCs/>
          <w:color w:val="auto"/>
          <w:sz w:val="24"/>
          <w:szCs w:val="28"/>
          <w:highlight w:val="none"/>
          <w:lang w:val="en-US" w:eastAsia="zh-CN"/>
        </w:rPr>
      </w:r>
      <w:r/>
    </w:p>
    <w:p>
      <w:pPr>
        <w:pStyle w:val="744"/>
        <w:ind w:firstLine="482"/>
        <w:keepLines w:val="0"/>
        <w:keepNext w:val="0"/>
        <w:pageBreakBefore w:val="0"/>
        <w:spacing w:line="520" w:lineRule="exact"/>
        <w:widowControl w:val="off"/>
        <w:rPr>
          <w:rFonts w:hint="eastAsia" w:ascii="宋体" w:hAnsi="宋体" w:eastAsia="宋体" w:cs="宋体"/>
          <w:b/>
          <w:bCs/>
          <w:color w:val="auto"/>
          <w:sz w:val="24"/>
          <w:szCs w:val="28"/>
          <w:highlight w:val="none"/>
          <w:lang w:val="en-US" w:eastAsia="zh-CN"/>
        </w:rPr>
      </w:pPr>
      <w:r>
        <w:rPr>
          <w:rFonts w:hint="eastAsia" w:ascii="宋体" w:hAnsi="宋体" w:eastAsia="宋体" w:cs="宋体"/>
          <w:b/>
          <w:bCs/>
          <w:color w:val="auto"/>
          <w:sz w:val="24"/>
          <w:szCs w:val="28"/>
          <w:highlight w:val="none"/>
          <w:lang w:val="en-US" w:eastAsia="zh-CN"/>
        </w:rPr>
      </w:r>
      <w:r/>
    </w:p>
    <w:p>
      <w:pPr>
        <w:pStyle w:val="744"/>
        <w:ind w:firstLine="482"/>
        <w:keepLines w:val="0"/>
        <w:keepNext w:val="0"/>
        <w:pageBreakBefore w:val="0"/>
        <w:spacing w:line="520" w:lineRule="exact"/>
        <w:widowControl w:val="off"/>
        <w:rPr>
          <w:rFonts w:hint="eastAsia" w:ascii="宋体" w:hAnsi="宋体" w:eastAsia="宋体" w:cs="宋体"/>
          <w:b/>
          <w:bCs/>
          <w:color w:val="auto"/>
          <w:sz w:val="24"/>
          <w:szCs w:val="28"/>
          <w:highlight w:val="none"/>
          <w:lang w:val="en-US" w:eastAsia="zh-CN"/>
        </w:rPr>
      </w:pPr>
      <w:r>
        <w:rPr>
          <w:rFonts w:hint="eastAsia" w:ascii="宋体" w:hAnsi="宋体" w:eastAsia="宋体" w:cs="宋体"/>
          <w:b/>
          <w:bCs/>
          <w:color w:val="auto"/>
          <w:sz w:val="24"/>
          <w:szCs w:val="28"/>
          <w:highlight w:val="none"/>
          <w:lang w:val="en-US" w:eastAsia="zh-CN"/>
        </w:rPr>
      </w:r>
      <w:r/>
    </w:p>
    <w:p>
      <w:pPr>
        <w:pStyle w:val="744"/>
        <w:ind w:firstLine="482"/>
        <w:keepLines w:val="0"/>
        <w:keepNext w:val="0"/>
        <w:pageBreakBefore w:val="0"/>
        <w:spacing w:line="520" w:lineRule="exact"/>
        <w:widowControl w:val="off"/>
        <w:rPr>
          <w:rFonts w:hint="eastAsia" w:ascii="宋体" w:hAnsi="宋体" w:eastAsia="宋体" w:cs="宋体"/>
          <w:b/>
          <w:bCs/>
          <w:color w:val="auto"/>
          <w:sz w:val="24"/>
          <w:szCs w:val="28"/>
          <w:highlight w:val="none"/>
          <w:lang w:val="en-US" w:eastAsia="zh-CN"/>
        </w:rPr>
      </w:pPr>
      <w:r>
        <w:rPr>
          <w:rFonts w:hint="eastAsia" w:ascii="宋体" w:hAnsi="宋体" w:eastAsia="宋体" w:cs="宋体"/>
          <w:b/>
          <w:bCs/>
          <w:color w:val="auto"/>
          <w:sz w:val="24"/>
          <w:szCs w:val="28"/>
          <w:highlight w:val="none"/>
          <w:lang w:val="en-US" w:eastAsia="zh-CN"/>
        </w:rPr>
      </w:r>
      <w:r/>
    </w:p>
    <w:p>
      <w:pPr>
        <w:pStyle w:val="744"/>
        <w:ind w:firstLine="482"/>
        <w:keepLines w:val="0"/>
        <w:keepNext w:val="0"/>
        <w:pageBreakBefore w:val="0"/>
        <w:spacing w:line="520" w:lineRule="exact"/>
        <w:widowControl w:val="off"/>
        <w:rPr>
          <w:rFonts w:hint="eastAsia" w:ascii="宋体" w:hAnsi="宋体" w:eastAsia="宋体" w:cs="宋体"/>
          <w:b/>
          <w:bCs/>
          <w:color w:val="auto"/>
          <w:sz w:val="24"/>
          <w:szCs w:val="28"/>
          <w:highlight w:val="none"/>
          <w:lang w:val="en-US" w:eastAsia="zh-CN"/>
        </w:rPr>
      </w:pPr>
      <w:r>
        <w:rPr>
          <w:rFonts w:hint="eastAsia" w:ascii="宋体" w:hAnsi="宋体" w:eastAsia="宋体" w:cs="宋体"/>
          <w:b/>
          <w:bCs/>
          <w:color w:val="auto"/>
          <w:sz w:val="24"/>
          <w:szCs w:val="28"/>
          <w:highlight w:val="none"/>
          <w:lang w:val="en-US" w:eastAsia="zh-CN"/>
        </w:rPr>
      </w:r>
      <w:r/>
    </w:p>
    <w:p>
      <w:pPr>
        <w:pStyle w:val="744"/>
        <w:ind w:firstLine="482"/>
        <w:keepLines w:val="0"/>
        <w:keepNext w:val="0"/>
        <w:pageBreakBefore w:val="0"/>
        <w:spacing w:line="520" w:lineRule="exact"/>
        <w:widowControl w:val="off"/>
        <w:rPr>
          <w:rFonts w:hint="eastAsia" w:ascii="宋体" w:hAnsi="宋体" w:eastAsia="宋体" w:cs="宋体"/>
          <w:b/>
          <w:bCs/>
          <w:color w:val="auto"/>
          <w:sz w:val="24"/>
          <w:szCs w:val="28"/>
          <w:highlight w:val="none"/>
          <w:lang w:val="en-US" w:eastAsia="zh-CN"/>
        </w:rPr>
      </w:pPr>
      <w:r>
        <w:rPr>
          <w:rFonts w:hint="eastAsia" w:ascii="宋体" w:hAnsi="宋体" w:eastAsia="宋体" w:cs="宋体"/>
          <w:b/>
          <w:bCs/>
          <w:color w:val="auto"/>
          <w:sz w:val="24"/>
          <w:szCs w:val="28"/>
          <w:highlight w:val="none"/>
          <w:lang w:val="en-US" w:eastAsia="zh-CN"/>
        </w:rPr>
        <w:t xml:space="preserve">评分细则：</w:t>
      </w:r>
      <w:r/>
    </w:p>
    <w:tbl>
      <w:tblPr>
        <w:tblStyle w:val="731"/>
        <w:tblW w:w="9758" w:type="dxa"/>
        <w:tblInd w:w="-2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1139"/>
        <w:gridCol w:w="914"/>
        <w:gridCol w:w="7082"/>
      </w:tblGrid>
      <w:tr>
        <w:trPr>
          <w:cantSplit/>
          <w:trHeight w:val="870"/>
        </w:trPr>
        <w:tc>
          <w:tcPr>
            <w:tcBorders>
              <w:top w:val="single" w:color="auto" w:sz="4" w:space="0"/>
              <w:left w:val="single" w:color="auto" w:sz="4" w:space="0"/>
              <w:bottom w:val="single" w:color="auto" w:sz="4" w:space="0"/>
              <w:right w:val="single" w:color="auto" w:sz="4" w:space="0"/>
            </w:tcBorders>
            <w:tcW w:w="623"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w:t>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评审细则</w:t>
            </w:r>
            <w:r/>
          </w:p>
        </w:tc>
      </w:tr>
      <w:tr>
        <w:trPr>
          <w:cantSplit/>
          <w:trHeight w:val="1101"/>
        </w:trPr>
        <w:tc>
          <w:tcPr>
            <w:tcBorders>
              <w:top w:val="single" w:color="auto" w:sz="4" w:space="0"/>
              <w:left w:val="single" w:color="auto" w:sz="4" w:space="0"/>
              <w:bottom w:val="single" w:color="auto" w:sz="4" w:space="0"/>
              <w:right w:val="single" w:color="auto" w:sz="4" w:space="0"/>
            </w:tcBorders>
            <w:tcW w:w="62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66</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采用低价优先法计算，即满足</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文件要求且投标价格最低的投标报价为评标基准价，其价格分为满分。其他投标人的价</w:t>
            </w:r>
            <w:r>
              <w:rPr>
                <w:rFonts w:hint="eastAsia" w:ascii="宋体" w:hAnsi="宋体" w:eastAsia="宋体" w:cs="宋体"/>
                <w:color w:val="auto"/>
                <w:sz w:val="21"/>
                <w:szCs w:val="21"/>
                <w:highlight w:val="none"/>
                <w:lang w:eastAsia="zh-CN"/>
              </w:rPr>
              <w:t xml:space="preserve">格部</w:t>
            </w:r>
            <w:r>
              <w:rPr>
                <w:rFonts w:hint="eastAsia" w:ascii="宋体" w:hAnsi="宋体" w:eastAsia="宋体" w:cs="宋体"/>
                <w:color w:val="auto"/>
                <w:sz w:val="21"/>
                <w:szCs w:val="21"/>
                <w:highlight w:val="none"/>
              </w:rPr>
              <w:t xml:space="preserve">分统一按照下列公式计算：投标报价得分=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评标基准价／投标报价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66</w:t>
            </w:r>
            <w:r>
              <w:rPr>
                <w:rFonts w:hint="eastAsia" w:ascii="宋体" w:hAnsi="宋体" w:eastAsia="宋体" w:cs="宋体"/>
                <w:color w:val="auto"/>
                <w:sz w:val="21"/>
                <w:szCs w:val="21"/>
                <w:highlight w:val="none"/>
              </w:rPr>
              <w:t xml:space="preserve">%×100。</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备注：符合价格扣除规定的</w:t>
            </w:r>
            <w:r>
              <w:rPr>
                <w:rFonts w:hint="eastAsia" w:ascii="宋体" w:hAnsi="宋体" w:eastAsia="宋体" w:cs="宋体"/>
                <w:color w:val="auto"/>
                <w:sz w:val="21"/>
                <w:szCs w:val="21"/>
                <w:highlight w:val="none"/>
                <w:lang w:val="en-US" w:eastAsia="zh-CN"/>
              </w:rPr>
              <w:t xml:space="preserve">小微企业</w:t>
            </w:r>
            <w:r>
              <w:rPr>
                <w:rFonts w:hint="eastAsia" w:ascii="宋体" w:hAnsi="宋体" w:eastAsia="宋体" w:cs="宋体"/>
                <w:color w:val="auto"/>
                <w:sz w:val="21"/>
                <w:szCs w:val="21"/>
                <w:highlight w:val="none"/>
              </w:rPr>
              <w:t xml:space="preserve">，在评审时予以价格扣除，用扣除后的价格参与评审。    </w:t>
            </w:r>
            <w:r/>
          </w:p>
        </w:tc>
      </w:tr>
      <w:tr>
        <w:trPr>
          <w:cantSplit/>
          <w:trHeight w:val="1529"/>
        </w:trPr>
        <w:tc>
          <w:tcPr>
            <w:tcBorders>
              <w:top w:val="single" w:color="auto" w:sz="4" w:space="0"/>
              <w:left w:val="single" w:color="auto" w:sz="4" w:space="0"/>
              <w:bottom w:val="single" w:color="auto" w:sz="4" w:space="0"/>
              <w:right w:val="single" w:color="auto" w:sz="4" w:space="0"/>
            </w:tcBorders>
            <w:tcW w:w="623"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生产设备、设施、处置情况</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20分</w:t>
            </w:r>
            <w:r/>
          </w:p>
        </w:tc>
        <w:tc>
          <w:tcPr>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对投标人拟投入的生产设备、处置情况进行评价，为保证项目顺利进行，主要针对处置单位贮存场地的规范性、容量及设备的先进性、稳定性、安全性、处置能力、处置情况等方面进行评价。</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1.内容完善、准确、清晰、切实可行、配备合理，设备设施安全环保的得20分；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2.内容比较完善、准确、清晰，比较切实可行、配备比较合理，设备设施比较安全环保的得15分；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3.内容基本完善，准确性及清晰度一般，合理可行一般，设备设施安全环保性一般，得10分；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4.有相应内容，但不完善具体得5分；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5.未提供相应内容的不得分。</w:t>
            </w:r>
            <w:r/>
          </w:p>
        </w:tc>
      </w:tr>
      <w:tr>
        <w:trPr>
          <w:cantSplit/>
          <w:trHeight w:val="1321"/>
        </w:trPr>
        <w:tc>
          <w:tcPr>
            <w:tcBorders>
              <w:top w:val="single" w:color="auto" w:sz="4" w:space="0"/>
              <w:left w:val="single" w:color="auto" w:sz="4" w:space="0"/>
              <w:right w:val="single" w:color="auto" w:sz="4" w:space="0"/>
            </w:tcBorders>
            <w:tcW w:w="623"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运输管理方案</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根据投标人提供的运输服务管理方案，对安全措施、环保措施等情况进行打分：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1.安全措施、环保措施内容完善，合理可行，得6分；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2.安全措施、环保措施内容基本完善，基本合理，得3分；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3.安全措施、环保措施有相应内容，但不完善具体，得1分；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4.未提供相应内容的不得分。</w:t>
            </w:r>
            <w:r/>
          </w:p>
        </w:tc>
      </w:tr>
      <w:tr>
        <w:trPr>
          <w:cantSplit/>
          <w:trHeight w:val="1504"/>
        </w:trPr>
        <w:tc>
          <w:tcPr>
            <w:tcBorders>
              <w:top w:val="single" w:color="auto" w:sz="4" w:space="0"/>
              <w:left w:val="single" w:color="auto" w:sz="4" w:space="0"/>
              <w:right w:val="single" w:color="auto" w:sz="4" w:space="0"/>
            </w:tcBorders>
            <w:tcW w:w="623"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应急方案</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根据投标人提供的应急方案（包括：应急响应时间、应急处理能力方案等，能提供遇特殊情况或交通事故的应急保障和各种自然灾害情况的应急处理方案）进行综合评分：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1.内容完善、准确、清晰、切实可行、配备合理，得8分；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2.内容基本完善，合理可行，得5分；</w:t>
            </w:r>
            <w:r/>
          </w:p>
          <w:p>
            <w:pPr>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3.有相应内容，但不完善具体，得2分；</w:t>
            </w:r>
            <w:r/>
          </w:p>
          <w:p>
            <w:pPr>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4.未提供相应内容的不得分。</w:t>
            </w:r>
            <w:r/>
          </w:p>
        </w:tc>
      </w:tr>
    </w:tbl>
    <w:p>
      <w:pPr>
        <w:ind w:firstLine="482"/>
        <w:keepLines w:val="0"/>
        <w:keepNext w:val="0"/>
        <w:pageBreakBefore w:val="0"/>
        <w:spacing w:line="52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color w:val="auto"/>
          <w:sz w:val="24"/>
          <w:szCs w:val="28"/>
          <w:highlight w:val="none"/>
          <w:lang w:val="en-US" w:eastAsia="zh-CN"/>
        </w:rPr>
        <w:t xml:space="preserve">注：</w:t>
      </w:r>
      <w:r>
        <w:rPr>
          <w:rFonts w:hint="eastAsia" w:ascii="宋体" w:hAnsi="宋体" w:eastAsia="宋体" w:cs="宋体"/>
          <w:b/>
          <w:bCs w:val="0"/>
          <w:color w:val="auto"/>
          <w:sz w:val="24"/>
          <w:szCs w:val="24"/>
          <w:highlight w:val="none"/>
        </w:rPr>
        <w:t xml:space="preserve">投标</w:t>
      </w:r>
      <w:r>
        <w:rPr>
          <w:rFonts w:hint="eastAsia" w:ascii="宋体" w:hAnsi="宋体" w:eastAsia="宋体" w:cs="宋体"/>
          <w:b/>
          <w:bCs w:val="0"/>
          <w:color w:val="auto"/>
          <w:sz w:val="24"/>
          <w:szCs w:val="24"/>
          <w:highlight w:val="none"/>
          <w:lang w:val="en-US" w:eastAsia="zh-CN"/>
        </w:rPr>
        <w:t xml:space="preserve">人</w:t>
      </w:r>
      <w:r>
        <w:rPr>
          <w:rFonts w:hint="eastAsia" w:ascii="宋体" w:hAnsi="宋体" w:eastAsia="宋体" w:cs="宋体"/>
          <w:b/>
          <w:bCs w:val="0"/>
          <w:color w:val="auto"/>
          <w:sz w:val="24"/>
          <w:szCs w:val="24"/>
          <w:highlight w:val="none"/>
        </w:rPr>
        <w:t xml:space="preserve">必须保证全部投标资料的真实性，如有虚假或对招标文件所要求说明的情况故意隐瞒或虚报，视为不实质性响应招标文件，为无效投标。已中标的将取消中标资格，并按《中华人民共和国政府采购法》等法律法规处理。</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4"/>
        <w:ind w:firstLine="480"/>
        <w:keepLines w:val="0"/>
        <w:keepNext w:val="0"/>
        <w:pageBreakBefore w:val="0"/>
        <w:spacing w:line="5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pStyle w:val="735"/>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pStyle w:val="732"/>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pStyle w:val="732"/>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pStyle w:val="732"/>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pStyle w:val="732"/>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第五章 合同条款</w:t>
      </w:r>
      <w:r/>
    </w:p>
    <w:p>
      <w:pPr>
        <w:jc w:val="center"/>
        <w:spacing w:before="100" w:beforeAutospacing="1" w:after="100" w:afterAutospacing="1" w:line="520" w:lineRule="exact"/>
        <w:rPr>
          <w:rFonts w:hint="eastAsia" w:ascii="宋体" w:hAnsi="宋体" w:eastAsia="宋体" w:cs="宋体"/>
          <w:b/>
          <w:color w:val="000000" w:themeColor="text1"/>
          <w:sz w:val="32"/>
          <w:szCs w:val="28"/>
          <w:highlight w:val="none"/>
          <w:shd w:val="clear" w:color="auto" w:fill="ffffff"/>
          <w14:textFill>
            <w14:solidFill>
              <w14:schemeClr w14:val="tx1"/>
            </w14:solidFill>
          </w14:textFill>
        </w:rPr>
      </w:pPr>
      <w:r>
        <w:rPr>
          <w:rFonts w:hint="eastAsia" w:ascii="宋体" w:hAnsi="宋体" w:eastAsia="宋体" w:cs="宋体"/>
          <w:b/>
          <w:color w:val="000000" w:themeColor="text1"/>
          <w:sz w:val="32"/>
          <w:szCs w:val="28"/>
          <w:highlight w:val="none"/>
          <w:shd w:val="clear" w:color="auto" w:fill="ffffff"/>
          <w14:textFill>
            <w14:solidFill>
              <w14:schemeClr w14:val="tx1"/>
            </w14:solidFill>
          </w14:textFill>
        </w:rPr>
        <w:t xml:space="preserve">政府采购合同</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甲方（甲方）：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泰州市海陵区住房和城乡建设局</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单位地址：泰州市海陵区迎春西路656号 </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乙方（供应商）：                                </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单位地址：</w:t>
      </w:r>
      <w:r/>
    </w:p>
    <w:p>
      <w:pPr>
        <w:pStyle w:val="78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丙方：</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泰州金州城北污水处理有限公司</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（以下简称丙方）</w:t>
      </w:r>
      <w:r/>
    </w:p>
    <w:p>
      <w:pPr>
        <w:jc w:val="left"/>
        <w:spacing w:line="360" w:lineRule="auto"/>
        <w:rPr>
          <w:rFonts w:hint="eastAsia" w:ascii="宋体" w:hAnsi="宋体" w:eastAsia="宋体" w:cs="宋体"/>
          <w:color w:val="000000" w:themeColor="text1"/>
          <w:spacing w:val="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单位地址：</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签订日期：                                       </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签订地点：</w:t>
      </w:r>
      <w:r/>
    </w:p>
    <w:p>
      <w:pPr>
        <w:ind w:left="0" w:right="0"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根据甲方申请并经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泰州市海陵区财政局 </w:t>
      </w:r>
      <w:r>
        <w:rPr>
          <w:rFonts w:hint="eastAsia" w:ascii="宋体" w:hAnsi="宋体" w:eastAsia="宋体" w:cs="宋体"/>
          <w:color w:val="000000" w:themeColor="text1"/>
          <w:sz w:val="24"/>
          <w:szCs w:val="24"/>
          <w:highlight w:val="none"/>
          <w14:textFill>
            <w14:solidFill>
              <w14:schemeClr w14:val="tx1"/>
            </w14:solidFill>
          </w14:textFill>
        </w:rPr>
        <w:t xml:space="preserve">核准</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城北污水处理厂污泥处置服务项目</w:t>
      </w:r>
      <w:r>
        <w:rPr>
          <w:rFonts w:hint="eastAsia" w:ascii="宋体" w:hAnsi="宋体" w:eastAsia="宋体" w:cs="宋体"/>
          <w:color w:val="000000" w:themeColor="text1"/>
          <w:sz w:val="24"/>
          <w:szCs w:val="24"/>
          <w:highlight w:val="none"/>
          <w14:textFill>
            <w14:solidFill>
              <w14:schemeClr w14:val="tx1"/>
            </w14:solidFill>
          </w14:textFill>
        </w:rPr>
        <w:t xml:space="preserve"> 政府采购计划，依据甲方委托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进行本项目政府采购</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（编号） </w:t>
      </w:r>
      <w:r>
        <w:rPr>
          <w:rFonts w:hint="eastAsia" w:ascii="宋体" w:hAnsi="宋体" w:eastAsia="宋体" w:cs="宋体"/>
          <w:color w:val="000000" w:themeColor="text1"/>
          <w:sz w:val="24"/>
          <w:szCs w:val="24"/>
          <w:highlight w:val="none"/>
          <w14:textFill>
            <w14:solidFill>
              <w14:schemeClr w14:val="tx1"/>
            </w14:solidFill>
          </w14:textFill>
        </w:rPr>
        <w:t xml:space="preserve">的中标结果，确定乙方为本次中标供应商，现依照采购文件、乙方响应的</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项目投标文件及相关文件的内容，签订本合同书。</w:t>
      </w:r>
      <w:r/>
    </w:p>
    <w:p>
      <w:pPr>
        <w:numPr>
          <w:ilvl w:val="0"/>
          <w:numId w:val="0"/>
        </w:numPr>
        <w:ind w:left="0" w:right="0" w:firstLine="482"/>
        <w:jc w:val="both"/>
        <w:keepLines w:val="0"/>
        <w:keepNext w:val="0"/>
        <w:pageBreakBefore w:val="0"/>
        <w:spacing w:line="520" w:lineRule="exact"/>
        <w:widowControl w:val="off"/>
        <w:tabs>
          <w:tab w:val="left" w:pos="567"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eastAsia="宋体" w:cs="宋体"/>
          <w:b/>
          <w:color w:val="000000" w:themeColor="text1"/>
          <w:sz w:val="24"/>
          <w:szCs w:val="24"/>
          <w:highlight w:val="none"/>
          <w14:textFill>
            <w14:solidFill>
              <w14:schemeClr w14:val="tx1"/>
            </w14:solidFill>
          </w14:textFill>
        </w:rPr>
        <w:t xml:space="preserve">合同价格</w:t>
      </w:r>
      <w:r/>
    </w:p>
    <w:p>
      <w:pPr>
        <w:numPr>
          <w:ilvl w:val="1"/>
          <w:numId w:val="0"/>
        </w:numPr>
        <w:ind w:left="0" w:right="0"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color w:val="000000" w:themeColor="text1"/>
          <w:sz w:val="24"/>
          <w:szCs w:val="24"/>
          <w:highlight w:val="none"/>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合同价格（大写）人民币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）每批次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单价为：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元/吨</w:t>
      </w:r>
      <w:r>
        <w:rPr>
          <w:rFonts w:hint="eastAsia" w:ascii="宋体" w:hAnsi="宋体" w:eastAsia="宋体" w:cs="宋体"/>
          <w:color w:val="000000" w:themeColor="text1"/>
          <w:sz w:val="24"/>
          <w:szCs w:val="24"/>
          <w:highlight w:val="none"/>
          <w14:textFill>
            <w14:solidFill>
              <w14:schemeClr w14:val="tx1"/>
            </w14:solidFill>
          </w14:textFill>
        </w:rPr>
        <w:t xml:space="preserve">。实际应包括拟提供服务验收合格及之前所有含税费用，包括所需要的污泥运输和处理处置费、装卸费、道路清扫费、人工费、机械费、管理费、保险、各项规费、利润、各项税费、有关文件规定的政策性调价等完成本项目所涉及的全部费用。</w:t>
      </w:r>
      <w:r/>
    </w:p>
    <w:p>
      <w:pPr>
        <w:numPr>
          <w:ilvl w:val="1"/>
          <w:numId w:val="0"/>
        </w:numPr>
        <w:ind w:left="0" w:right="0"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color w:val="000000" w:themeColor="text1"/>
          <w:sz w:val="24"/>
          <w:szCs w:val="24"/>
          <w:highlight w:val="none"/>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根据现行税法对甲方征收的与本合同有关的一切税费均由甲方承担；根据现行税法对乙方征收的与本合同有关的一切税费均由乙方承担。</w:t>
      </w:r>
      <w:r/>
    </w:p>
    <w:p>
      <w:pPr>
        <w:numPr>
          <w:ilvl w:val="0"/>
          <w:numId w:val="0"/>
        </w:numPr>
        <w:ind w:left="0" w:right="0" w:firstLine="482"/>
        <w:jc w:val="both"/>
        <w:keepLines w:val="0"/>
        <w:keepNext w:val="0"/>
        <w:pageBreakBefore w:val="0"/>
        <w:spacing w:line="520" w:lineRule="exact"/>
        <w:widowControl w:val="off"/>
        <w:tabs>
          <w:tab w:val="left" w:pos="567"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w:t>
      </w:r>
      <w:r>
        <w:rPr>
          <w:rFonts w:hint="eastAsia" w:ascii="宋体" w:hAnsi="宋体" w:eastAsia="宋体" w:cs="宋体"/>
          <w:b/>
          <w:color w:val="000000" w:themeColor="text1"/>
          <w:sz w:val="24"/>
          <w:szCs w:val="24"/>
          <w:highlight w:val="none"/>
          <w14:textFill>
            <w14:solidFill>
              <w14:schemeClr w14:val="tx1"/>
            </w14:solidFill>
          </w14:textFill>
        </w:rPr>
        <w:t xml:space="preserve">服务范围</w:t>
      </w:r>
      <w:r/>
    </w:p>
    <w:p>
      <w:pPr>
        <w:numPr>
          <w:ilvl w:val="1"/>
          <w:numId w:val="0"/>
        </w:numPr>
        <w:ind w:left="0" w:right="0"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color w:val="000000" w:themeColor="text1"/>
          <w:sz w:val="24"/>
          <w:szCs w:val="24"/>
          <w:highlight w:val="none"/>
          <w14:textFill>
            <w14:solidFill>
              <w14:schemeClr w14:val="tx1"/>
            </w14:solidFill>
          </w14:textFill>
        </w:rPr>
        <w:t xml:space="preserve">2.1</w:t>
      </w:r>
      <w:r>
        <w:rPr>
          <w:rFonts w:hint="eastAsia" w:ascii="宋体" w:hAnsi="宋体" w:eastAsia="宋体" w:cs="宋体"/>
          <w:color w:val="000000" w:themeColor="text1"/>
          <w:sz w:val="24"/>
          <w:szCs w:val="24"/>
          <w:highlight w:val="none"/>
          <w14:textFill>
            <w14:solidFill>
              <w14:schemeClr w14:val="tx1"/>
            </w14:solidFill>
          </w14:textFill>
        </w:rPr>
        <w:t xml:space="preserve">甲方聘请乙方提供以下服务：</w:t>
      </w:r>
      <w:r/>
    </w:p>
    <w:p>
      <w:pPr>
        <w:numPr>
          <w:ilvl w:val="0"/>
          <w:numId w:val="0"/>
        </w:numPr>
        <w:ind w:left="0" w:right="0" w:firstLine="480"/>
        <w:jc w:val="both"/>
        <w:keepLines w:val="0"/>
        <w:keepNext w:val="0"/>
        <w:pageBreakBefore w:val="0"/>
        <w:spacing w:line="520" w:lineRule="exact"/>
        <w:widowControl w:val="off"/>
        <w:tabs>
          <w:tab w:val="left" w:pos="993"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本合同项下的服务指：</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城北污水处理厂污泥处置项目</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0"/>
        </w:numPr>
        <w:ind w:left="0" w:right="0" w:firstLine="480"/>
        <w:jc w:val="both"/>
        <w:keepLines w:val="0"/>
        <w:keepNext w:val="0"/>
        <w:pageBreakBefore w:val="0"/>
        <w:spacing w:line="520" w:lineRule="exact"/>
        <w:widowControl w:val="off"/>
        <w:tabs>
          <w:tab w:val="left" w:pos="993"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服务内容：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甲方委托乙方处置丙方在生产过程中所产生的污泥。</w:t>
      </w:r>
      <w:r/>
    </w:p>
    <w:p>
      <w:pPr>
        <w:numPr>
          <w:ilvl w:val="0"/>
          <w:numId w:val="0"/>
        </w:numPr>
        <w:ind w:left="0" w:right="0" w:firstLine="480"/>
        <w:jc w:val="both"/>
        <w:keepLines w:val="0"/>
        <w:keepNext w:val="0"/>
        <w:pageBreakBefore w:val="0"/>
        <w:spacing w:line="520" w:lineRule="exact"/>
        <w:widowControl w:val="off"/>
        <w:tabs>
          <w:tab w:val="left" w:pos="993"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2027年1月1日至2027年12月31日。</w:t>
      </w:r>
      <w:r/>
    </w:p>
    <w:p>
      <w:pPr>
        <w:numPr>
          <w:ilvl w:val="0"/>
          <w:numId w:val="0"/>
        </w:numPr>
        <w:ind w:left="0" w:right="0" w:firstLine="480"/>
        <w:jc w:val="both"/>
        <w:keepLines w:val="0"/>
        <w:keepNext w:val="0"/>
        <w:pageBreakBefore w:val="0"/>
        <w:spacing w:line="520" w:lineRule="exact"/>
        <w:widowControl w:val="off"/>
        <w:tabs>
          <w:tab w:val="left" w:pos="993" w:leader="none"/>
        </w:tabs>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服务要求：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 符合招标文件要求</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numPr>
          <w:ilvl w:val="1"/>
          <w:numId w:val="0"/>
        </w:numPr>
        <w:ind w:left="0" w:right="0"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color w:val="000000" w:themeColor="text1"/>
          <w:sz w:val="24"/>
          <w:szCs w:val="24"/>
          <w:highlight w:val="none"/>
          <w14:textFill>
            <w14:solidFill>
              <w14:schemeClr w14:val="tx1"/>
            </w14:solidFill>
          </w14:textFill>
        </w:rPr>
        <w:t xml:space="preserve">2.2.</w:t>
      </w:r>
      <w:r>
        <w:rPr>
          <w:rFonts w:hint="eastAsia" w:ascii="宋体" w:hAnsi="宋体" w:eastAsia="宋体" w:cs="宋体"/>
          <w:b/>
          <w:color w:val="000000" w:themeColor="text1"/>
          <w:sz w:val="24"/>
          <w:szCs w:val="24"/>
          <w:highlight w:val="none"/>
          <w14:textFill>
            <w14:solidFill>
              <w14:schemeClr w14:val="tx1"/>
            </w14:solidFill>
          </w14:textFill>
        </w:rPr>
        <w:t xml:space="preserve">合同价格支付</w:t>
      </w:r>
      <w:r/>
    </w:p>
    <w:p>
      <w:pPr>
        <w:numPr>
          <w:ilvl w:val="1"/>
          <w:numId w:val="0"/>
        </w:numPr>
        <w:ind w:left="0" w:right="0"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i w:val="0"/>
          <w:color w:val="000000" w:themeColor="text1"/>
          <w:sz w:val="24"/>
          <w:szCs w:val="24"/>
          <w:highlight w:val="none"/>
          <w14:textFill>
            <w14:solidFill>
              <w14:schemeClr w14:val="tx1"/>
            </w14:solidFill>
          </w14:textFill>
        </w:rPr>
        <w:t xml:space="preserve">2.</w:t>
      </w:r>
      <w:r>
        <w:rPr>
          <w:rFonts w:hint="eastAsia" w:ascii="宋体" w:hAnsi="宋体" w:eastAsia="宋体" w:cs="宋体"/>
          <w:i w:val="0"/>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color w:val="000000" w:themeColor="text1"/>
          <w:sz w:val="24"/>
          <w:szCs w:val="24"/>
          <w:highlight w:val="none"/>
          <w14:textFill>
            <w14:solidFill>
              <w14:schemeClr w14:val="tx1"/>
            </w14:solidFill>
          </w14:textFill>
        </w:rPr>
        <w:t xml:space="preserve">付款方式：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按实际处置数量乘以中标单价按每</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个月结算一次</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减去每三个月扣除费用（如发生）进行结算。</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numPr>
          <w:ilvl w:val="1"/>
          <w:numId w:val="0"/>
        </w:numPr>
        <w:ind w:left="0" w:right="0"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color w:val="000000" w:themeColor="text1"/>
          <w:sz w:val="24"/>
          <w:szCs w:val="24"/>
          <w:highlight w:val="none"/>
          <w14:textFill>
            <w14:solidFill>
              <w14:schemeClr w14:val="tx1"/>
            </w14:solidFill>
          </w14:textFill>
        </w:rPr>
        <w:t xml:space="preserve">2.</w:t>
      </w:r>
      <w:r>
        <w:rPr>
          <w:rFonts w:hint="eastAsia" w:ascii="宋体" w:hAnsi="宋体" w:eastAsia="宋体" w:cs="宋体"/>
          <w:i w:val="0"/>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乙方要求付款应提供以下资料：</w:t>
      </w:r>
      <w:r/>
    </w:p>
    <w:p>
      <w:pPr>
        <w:ind w:left="0" w:right="0" w:firstLine="480"/>
        <w:jc w:val="both"/>
        <w:keepLines w:val="0"/>
        <w:keepNext w:val="0"/>
        <w:pageBreakBefore w:val="0"/>
        <w:spacing w:line="520" w:lineRule="exact"/>
        <w:widowControl w:val="off"/>
        <w:tabs>
          <w:tab w:val="left" w:pos="9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合格的发票。</w:t>
      </w:r>
      <w:r/>
    </w:p>
    <w:p>
      <w:pPr>
        <w:ind w:left="0" w:right="0" w:firstLine="480"/>
        <w:jc w:val="both"/>
        <w:keepLines w:val="0"/>
        <w:keepNext w:val="0"/>
        <w:pageBreakBefore w:val="0"/>
        <w:spacing w:line="520" w:lineRule="exact"/>
        <w:widowControl w:val="off"/>
        <w:tabs>
          <w:tab w:val="left" w:pos="9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其他（如有）。</w:t>
      </w:r>
      <w:r/>
    </w:p>
    <w:p>
      <w:pPr>
        <w:numPr>
          <w:ilvl w:val="1"/>
          <w:numId w:val="0"/>
        </w:numPr>
        <w:ind w:left="0" w:right="0"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i w:val="0"/>
          <w:color w:val="000000" w:themeColor="text1"/>
          <w:sz w:val="24"/>
          <w:szCs w:val="24"/>
          <w:highlight w:val="none"/>
          <w14:textFill>
            <w14:solidFill>
              <w14:schemeClr w14:val="tx1"/>
            </w14:solidFill>
          </w14:textFill>
        </w:rPr>
        <w:t xml:space="preserve">2.</w:t>
      </w:r>
      <w:r>
        <w:rPr>
          <w:rFonts w:hint="eastAsia" w:ascii="宋体" w:hAnsi="宋体" w:eastAsia="宋体" w:cs="宋体"/>
          <w:i w:val="0"/>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支付方式：转账。</w:t>
      </w:r>
      <w:r/>
    </w:p>
    <w:p>
      <w:pPr>
        <w:numPr>
          <w:ilvl w:val="0"/>
          <w:numId w:val="0"/>
        </w:numPr>
        <w:ind w:left="0" w:right="0"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2.3</w:t>
      </w:r>
      <w:r>
        <w:rPr>
          <w:rFonts w:hint="eastAsia" w:ascii="宋体" w:hAnsi="宋体" w:eastAsia="宋体" w:cs="宋体"/>
          <w:b/>
          <w:bCs/>
          <w:color w:val="000000" w:themeColor="text1"/>
          <w:sz w:val="24"/>
          <w:szCs w:val="24"/>
          <w:highlight w:val="none"/>
          <w:u w:val="none"/>
          <w14:textFill>
            <w14:solidFill>
              <w14:schemeClr w14:val="tx1"/>
            </w14:solidFill>
          </w14:textFill>
        </w:rPr>
        <w:t xml:space="preserve">履约保证金</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numPr>
          <w:ilvl w:val="0"/>
          <w:numId w:val="0"/>
        </w:numPr>
        <w:ind w:left="0" w:right="0"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2.3.1</w:t>
      </w:r>
      <w:r>
        <w:rPr>
          <w:rFonts w:hint="eastAsia" w:ascii="宋体" w:hAnsi="宋体" w:eastAsia="宋体" w:cs="宋体"/>
          <w:color w:val="000000" w:themeColor="text1"/>
          <w:sz w:val="24"/>
          <w:szCs w:val="24"/>
          <w:highlight w:val="none"/>
          <w:u w:val="single"/>
          <w14:textFill>
            <w14:solidFill>
              <w14:schemeClr w14:val="tx1"/>
            </w14:solidFill>
          </w14:textFill>
        </w:rPr>
        <w:t xml:space="preserve">乙方在签订本合同前向甲方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完成履约手续</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p>
    <w:p>
      <w:pPr>
        <w:numPr>
          <w:ilvl w:val="0"/>
          <w:numId w:val="0"/>
        </w:numPr>
        <w:ind w:left="0" w:right="0"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2.3.2</w:t>
      </w:r>
      <w:r>
        <w:rPr>
          <w:rFonts w:hint="eastAsia" w:ascii="宋体" w:hAnsi="宋体" w:eastAsia="宋体" w:cs="宋体"/>
          <w:color w:val="000000" w:themeColor="text1"/>
          <w:sz w:val="24"/>
          <w:szCs w:val="24"/>
          <w:highlight w:val="none"/>
          <w:u w:val="single"/>
          <w14:textFill>
            <w14:solidFill>
              <w14:schemeClr w14:val="tx1"/>
            </w14:solidFill>
          </w14:textFill>
        </w:rPr>
        <w:t xml:space="preserve">履约保证金的有效期为该项目全部验收合格为止。</w:t>
      </w:r>
      <w:r/>
    </w:p>
    <w:p>
      <w:pPr>
        <w:numPr>
          <w:ilvl w:val="0"/>
          <w:numId w:val="0"/>
        </w:numPr>
        <w:ind w:left="0" w:right="0"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2.3.3</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履约保证金在合作期满后扣除中标人违约金罚金等费用后，无息返还给中标人剩余的保证金。</w:t>
      </w:r>
      <w:r/>
    </w:p>
    <w:p>
      <w:pPr>
        <w:numPr>
          <w:ilvl w:val="0"/>
          <w:numId w:val="0"/>
        </w:numPr>
        <w:ind w:left="0" w:right="0" w:firstLine="482"/>
        <w:jc w:val="both"/>
        <w:keepLines w:val="0"/>
        <w:keepNext w:val="0"/>
        <w:pageBreakBefore w:val="0"/>
        <w:spacing w:line="520" w:lineRule="exact"/>
        <w:widowControl w:val="off"/>
        <w:tabs>
          <w:tab w:val="left" w:pos="567"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w:t>
      </w:r>
      <w:r>
        <w:rPr>
          <w:rFonts w:hint="eastAsia" w:ascii="宋体" w:hAnsi="宋体" w:eastAsia="宋体" w:cs="宋体"/>
          <w:b/>
          <w:color w:val="000000" w:themeColor="text1"/>
          <w:sz w:val="24"/>
          <w:szCs w:val="24"/>
          <w:highlight w:val="none"/>
          <w14:textFill>
            <w14:solidFill>
              <w14:schemeClr w14:val="tx1"/>
            </w14:solidFill>
          </w14:textFill>
        </w:rPr>
        <w:t xml:space="preserve">服务质量及有关要求</w:t>
      </w:r>
      <w:r/>
    </w:p>
    <w:p>
      <w:pPr>
        <w:numPr>
          <w:ilvl w:val="1"/>
          <w:numId w:val="0"/>
        </w:numPr>
        <w:ind w:left="0" w:right="0" w:firstLine="480"/>
        <w:jc w:val="both"/>
        <w:keepLines w:val="0"/>
        <w:keepNext w:val="0"/>
        <w:pageBreakBefore w:val="0"/>
        <w:spacing w:line="520" w:lineRule="exact"/>
        <w:widowControl w:val="off"/>
        <w:tabs>
          <w:tab w:val="left" w:pos="54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color w:val="000000" w:themeColor="text1"/>
          <w:sz w:val="24"/>
          <w:szCs w:val="24"/>
          <w:highlight w:val="none"/>
          <w14:textFill>
            <w14:solidFill>
              <w14:schemeClr w14:val="tx1"/>
            </w14:solidFill>
          </w14:textFill>
        </w:rPr>
        <w:t xml:space="preserve">3.1</w:t>
      </w:r>
      <w:r>
        <w:rPr>
          <w:rFonts w:hint="eastAsia" w:ascii="宋体" w:hAnsi="宋体" w:eastAsia="宋体" w:cs="宋体"/>
          <w:color w:val="000000" w:themeColor="text1"/>
          <w:sz w:val="24"/>
          <w:szCs w:val="24"/>
          <w:highlight w:val="none"/>
          <w14:textFill>
            <w14:solidFill>
              <w14:schemeClr w14:val="tx1"/>
            </w14:solidFill>
          </w14:textFill>
        </w:rPr>
        <w:t xml:space="preserve">乙方应按采购文件的有关规定提供合格的服务。</w:t>
      </w:r>
      <w:r/>
    </w:p>
    <w:p>
      <w:pPr>
        <w:numPr>
          <w:ilvl w:val="1"/>
          <w:numId w:val="0"/>
        </w:numPr>
        <w:ind w:left="0" w:right="0" w:firstLine="480"/>
        <w:jc w:val="both"/>
        <w:keepLines w:val="0"/>
        <w:keepNext w:val="0"/>
        <w:pageBreakBefore w:val="0"/>
        <w:spacing w:line="520" w:lineRule="exact"/>
        <w:widowControl w:val="off"/>
        <w:tabs>
          <w:tab w:val="left" w:pos="54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color w:val="000000" w:themeColor="text1"/>
          <w:sz w:val="24"/>
          <w:szCs w:val="24"/>
          <w:highlight w:val="none"/>
          <w14:textFill>
            <w14:solidFill>
              <w14:schemeClr w14:val="tx1"/>
            </w14:solidFill>
          </w14:textFill>
        </w:rPr>
        <w:t xml:space="preserve">3.2</w:t>
      </w:r>
      <w:r>
        <w:rPr>
          <w:rFonts w:hint="eastAsia" w:ascii="宋体" w:hAnsi="宋体" w:eastAsia="宋体" w:cs="宋体"/>
          <w:color w:val="000000" w:themeColor="text1"/>
          <w:sz w:val="24"/>
          <w:szCs w:val="24"/>
          <w:highlight w:val="none"/>
          <w14:textFill>
            <w14:solidFill>
              <w14:schemeClr w14:val="tx1"/>
            </w14:solidFill>
          </w14:textFill>
        </w:rPr>
        <w:t xml:space="preserve">乙方应保证所提供标的物涉及到的知识产权是合法取得，并享有完整的知识产权，不会因为甲方的使用而被责令停止使用、追偿或要求赔偿损失，如出现此情况，一切经济和法律责任均由乙方承担。乙方应按采购文件的有关规定提供合格的服务，质量符合国际或国家通用标准。</w:t>
      </w:r>
      <w:r/>
    </w:p>
    <w:p>
      <w:pPr>
        <w:numPr>
          <w:ilvl w:val="1"/>
          <w:numId w:val="0"/>
        </w:numPr>
        <w:ind w:left="0" w:right="0" w:firstLine="480"/>
        <w:jc w:val="both"/>
        <w:keepLines w:val="0"/>
        <w:keepNext w:val="0"/>
        <w:pageBreakBefore w:val="0"/>
        <w:spacing w:line="520" w:lineRule="exact"/>
        <w:widowControl w:val="off"/>
        <w:tabs>
          <w:tab w:val="left" w:pos="54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color w:val="000000" w:themeColor="text1"/>
          <w:sz w:val="24"/>
          <w:szCs w:val="24"/>
          <w:highlight w:val="none"/>
          <w14:textFill>
            <w14:solidFill>
              <w14:schemeClr w14:val="tx1"/>
            </w14:solidFill>
          </w14:textFill>
        </w:rPr>
        <w:t xml:space="preserve">3.3</w:t>
      </w:r>
      <w:r>
        <w:rPr>
          <w:rFonts w:hint="eastAsia" w:ascii="宋体" w:hAnsi="宋体" w:eastAsia="宋体" w:cs="宋体"/>
          <w:color w:val="000000" w:themeColor="text1"/>
          <w:sz w:val="24"/>
          <w:szCs w:val="24"/>
          <w:highlight w:val="none"/>
          <w14:textFill>
            <w14:solidFill>
              <w14:schemeClr w14:val="tx1"/>
            </w14:solidFill>
          </w14:textFill>
        </w:rPr>
        <w:t xml:space="preserve">本项目采购人选定的污泥处置方式为含焚烧工艺的方法处置（包括单独焚烧、水泥窑协同处置、热电厂协同处置、污泥与生活垃圾混烧、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制烧结砖、污泥烧制陶粒</w:t>
      </w:r>
      <w:r>
        <w:rPr>
          <w:rFonts w:hint="eastAsia" w:ascii="宋体" w:hAnsi="宋体" w:eastAsia="宋体" w:cs="宋体"/>
          <w:color w:val="000000" w:themeColor="text1"/>
          <w:sz w:val="24"/>
          <w:szCs w:val="24"/>
          <w:highlight w:val="none"/>
          <w14:textFill>
            <w14:solidFill>
              <w14:schemeClr w14:val="tx1"/>
            </w14:solidFill>
          </w14:textFill>
        </w:rPr>
        <w:t xml:space="preserve">等），其余处置方式均不予认可，处置过程不得对环境造成二次污染。污泥处置工艺成熟，系统运行稳定，污泥处置设备设施环保措施符合国家和环保部门要求，污泥处置后的产物应符合国家和地方相关部门要求，乙方须具备与本项目相适应的贮存、处置能力，并具备一定应急调蓄储存能力，在紧急情况下，可储存一定量污泥。 </w:t>
      </w:r>
      <w:r/>
    </w:p>
    <w:p>
      <w:pPr>
        <w:numPr>
          <w:ilvl w:val="1"/>
          <w:numId w:val="0"/>
        </w:numPr>
        <w:ind w:left="0" w:right="0" w:firstLine="480"/>
        <w:jc w:val="both"/>
        <w:keepLines w:val="0"/>
        <w:keepNext w:val="0"/>
        <w:pageBreakBefore w:val="0"/>
        <w:spacing w:line="520" w:lineRule="exact"/>
        <w:widowControl w:val="off"/>
        <w:tabs>
          <w:tab w:val="left" w:pos="540"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i w:val="0"/>
          <w:color w:val="000000" w:themeColor="text1"/>
          <w:sz w:val="24"/>
          <w:szCs w:val="24"/>
          <w:highlight w:val="none"/>
          <w14:textFill>
            <w14:solidFill>
              <w14:schemeClr w14:val="tx1"/>
            </w14:solidFill>
          </w14:textFill>
        </w:rPr>
        <w:t xml:space="preserve">3.4</w:t>
      </w:r>
      <w:r>
        <w:rPr>
          <w:rFonts w:hint="eastAsia" w:ascii="宋体" w:hAnsi="宋体" w:eastAsia="宋体" w:cs="宋体"/>
          <w:color w:val="000000" w:themeColor="text1"/>
          <w:sz w:val="24"/>
          <w:szCs w:val="24"/>
          <w:highlight w:val="none"/>
          <w14:textFill>
            <w14:solidFill>
              <w14:schemeClr w14:val="tx1"/>
            </w14:solidFill>
          </w14:textFill>
        </w:rPr>
        <w:t xml:space="preserve">城北污水处理厂执行24小时脱泥，中标单位须及时将污泥装车，城北污水处理厂厂区道路清扫每周至少一次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1"/>
          <w:numId w:val="0"/>
        </w:numPr>
        <w:ind w:left="0" w:right="0" w:firstLine="480"/>
        <w:jc w:val="both"/>
        <w:keepLines w:val="0"/>
        <w:keepNext w:val="0"/>
        <w:pageBreakBefore w:val="0"/>
        <w:spacing w:line="520" w:lineRule="exact"/>
        <w:widowControl w:val="off"/>
        <w:tabs>
          <w:tab w:val="left" w:pos="54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color w:val="000000" w:themeColor="text1"/>
          <w:sz w:val="24"/>
          <w:szCs w:val="24"/>
          <w:highlight w:val="none"/>
          <w14:textFill>
            <w14:solidFill>
              <w14:schemeClr w14:val="tx1"/>
            </w14:solidFill>
          </w14:textFill>
        </w:rPr>
        <w:t xml:space="preserve">3.5</w:t>
      </w:r>
      <w:r>
        <w:rPr>
          <w:rFonts w:hint="eastAsia" w:ascii="宋体" w:hAnsi="宋体" w:eastAsia="宋体" w:cs="宋体"/>
          <w:color w:val="000000" w:themeColor="text1"/>
          <w:sz w:val="24"/>
          <w:szCs w:val="24"/>
          <w:highlight w:val="none"/>
          <w14:textFill>
            <w14:solidFill>
              <w14:schemeClr w14:val="tx1"/>
            </w14:solidFill>
          </w14:textFill>
        </w:rPr>
        <w:t xml:space="preserve">乙方须配备运输工具到污水处理厂污泥收集点直接运输污泥，并进行过磅称重，确定每车污泥的重量，污泥量由丙方厂内的计量设施电脑出票并经乙、丙双方签字确认后交付甲方备案。车辆离场前应仔细检查，确保车辆无泄漏，车身无残留。从污泥收集点至规范化处置点的外运途中不得有“抛冒滴漏”现象，不得运卸、堆放至非处置地点，不得造成二次污染。</w:t>
      </w:r>
      <w:r>
        <w:rPr>
          <w:rFonts w:hint="eastAsia" w:ascii="宋体" w:hAnsi="宋体" w:eastAsia="宋体" w:cs="宋体"/>
          <w:color w:val="000000" w:themeColor="text1"/>
          <w:sz w:val="24"/>
          <w:szCs w:val="24"/>
          <w:highlight w:val="none"/>
          <w14:textFill>
            <w14:solidFill>
              <w14:schemeClr w14:val="tx1"/>
            </w14:solidFill>
          </w14:textFill>
        </w:rPr>
        <w:t xml:space="preserve">如发现未密闭运输有抛洒滴漏现象的，扣除2000元/次，累计发现超过5次的，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有权扣除全部履约保证金并终止合同。</w:t>
      </w:r>
      <w:r>
        <w:rPr>
          <w:rFonts w:hint="eastAsia" w:ascii="宋体" w:hAnsi="宋体" w:eastAsia="宋体" w:cs="宋体"/>
          <w:color w:val="000000" w:themeColor="text1"/>
          <w:sz w:val="24"/>
          <w:szCs w:val="24"/>
          <w:highlight w:val="none"/>
          <w14:textFill>
            <w14:solidFill>
              <w14:schemeClr w14:val="tx1"/>
            </w14:solidFill>
          </w14:textFill>
        </w:rPr>
        <w:t xml:space="preserve">甲方有权对乙方的污泥收集、运输、无害处理过程进行检查监督，检查时，乙方须提供污泥收集、运输、无害处理过程台账，确保可溯源，严禁弄虚作假。</w:t>
      </w:r>
      <w:r/>
    </w:p>
    <w:p>
      <w:pPr>
        <w:numPr>
          <w:ilvl w:val="1"/>
          <w:numId w:val="0"/>
        </w:numPr>
        <w:ind w:left="0" w:right="0" w:firstLine="480"/>
        <w:jc w:val="both"/>
        <w:keepLines w:val="0"/>
        <w:keepNext w:val="0"/>
        <w:pageBreakBefore w:val="0"/>
        <w:spacing w:line="520" w:lineRule="exact"/>
        <w:widowControl w:val="off"/>
        <w:tabs>
          <w:tab w:val="left" w:pos="54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color w:val="000000" w:themeColor="text1"/>
          <w:sz w:val="24"/>
          <w:szCs w:val="24"/>
          <w:highlight w:val="none"/>
          <w14:textFill>
            <w14:solidFill>
              <w14:schemeClr w14:val="tx1"/>
            </w14:solidFill>
          </w14:textFill>
        </w:rPr>
        <w:t xml:space="preserve">3.6</w:t>
      </w:r>
      <w:r>
        <w:rPr>
          <w:rFonts w:hint="eastAsia" w:ascii="宋体" w:hAnsi="宋体" w:eastAsia="宋体" w:cs="宋体"/>
          <w:color w:val="000000" w:themeColor="text1"/>
          <w:sz w:val="24"/>
          <w:szCs w:val="24"/>
          <w:highlight w:val="none"/>
          <w14:textFill>
            <w14:solidFill>
              <w14:schemeClr w14:val="tx1"/>
            </w14:solidFill>
          </w14:textFill>
        </w:rPr>
        <w:t xml:space="preserve">乙方负责把脱水后污泥直接从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污水处理厂</w:t>
      </w:r>
      <w:r>
        <w:rPr>
          <w:rFonts w:hint="eastAsia" w:ascii="宋体" w:hAnsi="宋体" w:eastAsia="宋体" w:cs="宋体"/>
          <w:color w:val="000000" w:themeColor="text1"/>
          <w:sz w:val="24"/>
          <w:szCs w:val="24"/>
          <w:highlight w:val="none"/>
          <w14:textFill>
            <w14:solidFill>
              <w14:schemeClr w14:val="tx1"/>
            </w14:solidFill>
          </w14:textFill>
        </w:rPr>
        <w:t xml:space="preserve">运输至处理点进行无害化处理，负责对污泥进行后续运输和处理处置，实现污水处理厂污泥稳定化、无害化。乙方需提供污泥运输路线图，除封路绕行等特殊情况外污泥运输必须按约定路线进行运输。乙方包干所有费用（即包括污泥上车费，运输费、汽油费、材料费、处理处置费、装卸费、道路清扫费、人工费、机械费、管理费、保险、各项规费、利润、各项税费等），同时，期间所发生的一切安全及环保等问题，由乙方负责。在服务期限内乙方自行负责进行全过程污泥运输和处置，并承担由此产生的相应费用和责任及风险。</w:t>
      </w:r>
      <w:r/>
    </w:p>
    <w:p>
      <w:pPr>
        <w:ind w:left="0" w:right="0"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3.7在委托服务期内，乙方应配合甲方做好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丙方</w:t>
      </w:r>
      <w:r>
        <w:rPr>
          <w:rFonts w:hint="eastAsia" w:ascii="宋体" w:hAnsi="宋体" w:eastAsia="宋体" w:cs="宋体"/>
          <w:color w:val="000000" w:themeColor="text1"/>
          <w:sz w:val="24"/>
          <w:szCs w:val="24"/>
          <w:highlight w:val="none"/>
          <w14:textFill>
            <w14:solidFill>
              <w14:schemeClr w14:val="tx1"/>
            </w14:solidFill>
          </w14:textFill>
        </w:rPr>
        <w:t xml:space="preserve">污泥转运联单的填报，真实有效地将地磅计量记录于污泥转运联单上并盖章确认，同时乙方也应配合甲方做好污泥转运联单的环保备案。</w:t>
      </w:r>
      <w:r>
        <w:rPr>
          <w:rFonts w:hint="eastAsia" w:ascii="宋体" w:hAnsi="宋体" w:eastAsia="宋体" w:cs="宋体"/>
          <w:b w:val="0"/>
          <w:bCs w:val="0"/>
          <w:color w:val="auto"/>
          <w:sz w:val="24"/>
          <w:szCs w:val="24"/>
          <w:highlight w:val="none"/>
          <w:lang w:val="en-US" w:eastAsia="zh-CN"/>
        </w:rPr>
        <w:t xml:space="preserve">未及时配合的扣除1000元/次。</w:t>
      </w:r>
      <w:r/>
    </w:p>
    <w:p>
      <w:pPr>
        <w:ind w:left="0" w:right="0"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3.8乙方在污泥处置过程中临时碰到困难</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含检修、改造、天气原因等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，导致四十八小时内无法及时接收处置污泥，应书面告知甲方，乙方可与政府有关部门认可的有资质的污泥处置单位进行协商，协力共同处置污泥并签订污泥应急处置协议，向甲方报备，经甲方同意后方可实施。</w:t>
      </w:r>
      <w:r>
        <w:rPr>
          <w:rFonts w:hint="eastAsia" w:ascii="宋体" w:hAnsi="宋体" w:eastAsia="宋体" w:cs="宋体"/>
          <w:b w:val="0"/>
          <w:bCs w:val="0"/>
          <w:color w:val="auto"/>
          <w:sz w:val="24"/>
          <w:szCs w:val="24"/>
          <w:highlight w:val="none"/>
          <w:lang w:val="en-US" w:eastAsia="zh-CN"/>
        </w:rPr>
        <w:t xml:space="preserve">无特殊原因，超过四十八小时未进行外运的，每次扣除5000元。</w:t>
      </w:r>
      <w:r/>
    </w:p>
    <w:p>
      <w:pPr>
        <w:ind w:left="0" w:right="0"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3.9乙方负责清理运输工具上跌落、泄漏在厂区内或运输途中的污泥，且由此造成各方行政责任及经济损失，或导致任何第三方对甲方提出索赔，其责任、风险和费用均由乙方承担。</w:t>
      </w:r>
      <w:r/>
    </w:p>
    <w:p>
      <w:pPr>
        <w:ind w:left="0" w:right="0"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3.10乙方须提供符合现场运输条件的卡车，严禁超载，车辆须固定，如需更换，须经甲方同意，中标人每辆车须安装GPS，信号接入泰州市污水处理设施监管平台，另外GPS轨迹能通过其他方式供采购人查询，运输时必须全程开启并确保运行正常，乙方在污泥处置过程中，污泥车辆运输轨迹应与监管平台显示一致，</w:t>
      </w:r>
      <w:r>
        <w:rPr>
          <w:rFonts w:hint="eastAsia" w:ascii="宋体" w:hAnsi="宋体" w:eastAsia="宋体" w:cs="宋体"/>
          <w:color w:val="000000" w:themeColor="text1"/>
          <w:sz w:val="24"/>
          <w:szCs w:val="24"/>
          <w:highlight w:val="none"/>
          <w14:textFill>
            <w14:solidFill>
              <w14:schemeClr w14:val="tx1"/>
            </w14:solidFill>
          </w14:textFill>
        </w:rPr>
        <w:t xml:space="preserve">如监管平台未能显示实际运输轨迹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或运输轨迹存在异常</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乙方须在一个月内提供甲方认可的证明材料，否则</w:t>
      </w:r>
      <w:r>
        <w:rPr>
          <w:rFonts w:hint="eastAsia" w:ascii="宋体" w:hAnsi="宋体" w:eastAsia="宋体" w:cs="宋体"/>
          <w:color w:val="000000" w:themeColor="text1"/>
          <w:sz w:val="24"/>
          <w:szCs w:val="24"/>
          <w:highlight w:val="none"/>
          <w14:textFill>
            <w14:solidFill>
              <w14:schemeClr w14:val="tx1"/>
            </w14:solidFill>
          </w14:textFill>
        </w:rPr>
        <w:t xml:space="preserve">每车次扣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00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元。</w:t>
      </w:r>
      <w:r/>
    </w:p>
    <w:p>
      <w:pPr>
        <w:ind w:left="0" w:right="0"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3.11乙方在城北污水处理厂内进行污泥装载和运输过程中，需谨慎慢速行驶，一旦对厂区道路及其他设施发生破坏后，需及时修复并予以处罚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未及时修复按损坏价值予以处罚未及时修复按损坏价值予以处罚，在结算时扣除。</w:t>
      </w:r>
      <w:r/>
    </w:p>
    <w:p>
      <w:pPr>
        <w:ind w:left="0" w:right="0"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3.12乙方不得在处置地随意倾倒污泥或将污泥作</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投标处置方式外的</w:t>
      </w:r>
      <w:r>
        <w:rPr>
          <w:rFonts w:hint="eastAsia" w:ascii="宋体" w:hAnsi="宋体" w:eastAsia="宋体" w:cs="宋体"/>
          <w:color w:val="000000" w:themeColor="text1"/>
          <w:sz w:val="24"/>
          <w:szCs w:val="24"/>
          <w:highlight w:val="none"/>
          <w14:textFill>
            <w14:solidFill>
              <w14:schemeClr w14:val="tx1"/>
            </w14:solidFill>
          </w14:textFill>
        </w:rPr>
        <w:t xml:space="preserve">其他用途，甲方和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丙方</w:t>
      </w:r>
      <w:r>
        <w:rPr>
          <w:rFonts w:hint="eastAsia" w:ascii="宋体" w:hAnsi="宋体" w:eastAsia="宋体" w:cs="宋体"/>
          <w:color w:val="000000" w:themeColor="text1"/>
          <w:sz w:val="24"/>
          <w:szCs w:val="24"/>
          <w:highlight w:val="none"/>
          <w14:textFill>
            <w14:solidFill>
              <w14:schemeClr w14:val="tx1"/>
            </w14:solidFill>
          </w14:textFill>
        </w:rPr>
        <w:t xml:space="preserve">可随时抽查运输处置情况，如发现或被举报核实乙方有随意倾倒污泥等违法行为，甲方可立即解除合同，并扣除全部履约保证金，如造成环境二次污染等情况，乙方将承担相应的法律责任，同时承担环境修复所产生的一切费用。</w:t>
      </w:r>
      <w:r/>
    </w:p>
    <w:p>
      <w:pPr>
        <w:ind w:left="0" w:right="0"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3.13甲方有权对乙方进行现场考察，如发现乙方的焚烧厂的处置能力、处置工艺、处置标准等无法满足采购需求，甲方有权解除合同，由此对甲方造成的损失全部由乙方承担。</w:t>
      </w:r>
      <w:r/>
    </w:p>
    <w:p>
      <w:pPr>
        <w:ind w:left="0" w:right="0"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3.14乙方不得随意停止污泥收集、运输、处置服务，如确有非乙方原因造成的情况导致需要停止服务的，乙方须提前15日书面向甲方申请，此15日内乙方不得停止服务，否则造成的损失由乙方承担且甲方有权拒付合同款。</w:t>
      </w:r>
      <w:r/>
    </w:p>
    <w:p>
      <w:pPr>
        <w:ind w:left="0" w:right="0"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3.15</w:t>
      </w:r>
      <w:r>
        <w:rPr>
          <w:rFonts w:hint="eastAsia" w:ascii="宋体" w:hAnsi="宋体" w:eastAsia="宋体" w:cs="宋体"/>
          <w:color w:val="000000" w:themeColor="text1"/>
          <w:sz w:val="24"/>
          <w:szCs w:val="24"/>
          <w:highlight w:val="none"/>
          <w14:textFill>
            <w14:solidFill>
              <w14:schemeClr w14:val="tx1"/>
            </w14:solidFill>
          </w14:textFill>
        </w:rPr>
        <w:t xml:space="preserve">乙方在履行合同中产生的一切非因甲方和丙方过错导致的损失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均由乙方自行承担责任。</w:t>
      </w:r>
      <w:r/>
    </w:p>
    <w:p>
      <w:pPr>
        <w:ind w:left="0" w:right="0"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3.16</w:t>
      </w:r>
      <w:r>
        <w:rPr>
          <w:rFonts w:hint="eastAsia" w:ascii="宋体" w:hAnsi="宋体" w:eastAsia="宋体" w:cs="宋体"/>
          <w:color w:val="000000" w:themeColor="text1"/>
          <w:sz w:val="24"/>
          <w:szCs w:val="24"/>
          <w:highlight w:val="none"/>
          <w14:textFill>
            <w14:solidFill>
              <w14:schemeClr w14:val="tx1"/>
            </w14:solidFill>
          </w14:textFill>
        </w:rPr>
        <w:t xml:space="preserve">乙方不得以实际需要的处理处置量与采购预计处理量不一致为由停止服务或提高单价。否则由此造成甲方、丙方损失的，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由乙方承担所有损失</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right="0"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3.17</w:t>
      </w:r>
      <w:r>
        <w:rPr>
          <w:rFonts w:hint="eastAsia" w:ascii="宋体" w:hAnsi="宋体" w:eastAsia="宋体" w:cs="宋体"/>
          <w:color w:val="000000" w:themeColor="text1"/>
          <w:sz w:val="24"/>
          <w:szCs w:val="24"/>
          <w:highlight w:val="none"/>
          <w14:textFill>
            <w14:solidFill>
              <w14:schemeClr w14:val="tx1"/>
            </w14:solidFill>
          </w14:textFill>
        </w:rPr>
        <w:t xml:space="preserve">乙方应设污泥处置负责人，负责污泥处置协调管理工作；不得将项目转包分包；服务期内乙方的工作人员如发生人身伤亡、财务或其他各类损失，无论因何种原因，甲方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丙方均不承担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任何</w:t>
      </w:r>
      <w:r>
        <w:rPr>
          <w:rFonts w:hint="eastAsia" w:ascii="宋体" w:hAnsi="宋体" w:eastAsia="宋体" w:cs="宋体"/>
          <w:color w:val="000000" w:themeColor="text1"/>
          <w:sz w:val="24"/>
          <w:szCs w:val="24"/>
          <w:highlight w:val="none"/>
          <w14:textFill>
            <w14:solidFill>
              <w14:schemeClr w14:val="tx1"/>
            </w14:solidFill>
          </w14:textFill>
        </w:rPr>
        <w:t xml:space="preserve">责任。</w:t>
      </w:r>
      <w:r/>
    </w:p>
    <w:p>
      <w:pPr>
        <w:numPr>
          <w:ilvl w:val="0"/>
          <w:numId w:val="0"/>
        </w:numPr>
        <w:ind w:left="0" w:right="0" w:firstLine="482"/>
        <w:jc w:val="both"/>
        <w:keepLines w:val="0"/>
        <w:keepNext w:val="0"/>
        <w:pageBreakBefore w:val="0"/>
        <w:spacing w:line="520" w:lineRule="exact"/>
        <w:widowControl w:val="off"/>
        <w:tabs>
          <w:tab w:val="left" w:pos="540" w:leader="none"/>
          <w:tab w:val="left" w:pos="567"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w:t>
      </w:r>
      <w:r>
        <w:rPr>
          <w:rFonts w:hint="eastAsia" w:ascii="宋体" w:hAnsi="宋体" w:eastAsia="宋体" w:cs="宋体"/>
          <w:b/>
          <w:color w:val="000000" w:themeColor="text1"/>
          <w:sz w:val="24"/>
          <w:szCs w:val="24"/>
          <w:highlight w:val="none"/>
          <w14:textFill>
            <w14:solidFill>
              <w14:schemeClr w14:val="tx1"/>
            </w14:solidFill>
          </w14:textFill>
        </w:rPr>
        <w:t xml:space="preserve">违约责任</w:t>
      </w:r>
      <w:r/>
    </w:p>
    <w:p>
      <w:pPr>
        <w:numPr>
          <w:ilvl w:val="1"/>
          <w:numId w:val="0"/>
        </w:numPr>
        <w:ind w:left="0" w:right="0" w:firstLine="480"/>
        <w:jc w:val="both"/>
        <w:keepLines w:val="0"/>
        <w:keepNext w:val="0"/>
        <w:pageBreakBefore w:val="0"/>
        <w:spacing w:line="520" w:lineRule="exact"/>
        <w:widowControl w:val="off"/>
        <w:tabs>
          <w:tab w:val="left" w:pos="54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color w:val="000000" w:themeColor="text1"/>
          <w:sz w:val="24"/>
          <w:szCs w:val="24"/>
          <w:highlight w:val="none"/>
          <w14:textFill>
            <w14:solidFill>
              <w14:schemeClr w14:val="tx1"/>
            </w14:solidFill>
          </w14:textFill>
        </w:rPr>
        <w:t xml:space="preserve">4.1</w:t>
      </w:r>
      <w:r>
        <w:rPr>
          <w:rFonts w:hint="eastAsia" w:ascii="宋体" w:hAnsi="宋体" w:eastAsia="宋体" w:cs="宋体"/>
          <w:color w:val="000000" w:themeColor="text1"/>
          <w:sz w:val="24"/>
          <w:szCs w:val="24"/>
          <w:highlight w:val="none"/>
          <w14:textFill>
            <w14:solidFill>
              <w14:schemeClr w14:val="tx1"/>
            </w14:solidFill>
          </w14:textFill>
        </w:rPr>
        <w:t xml:space="preserve">甲方违约责任及违约金支付：</w:t>
      </w:r>
      <w:r/>
    </w:p>
    <w:p>
      <w:pPr>
        <w:ind w:left="0" w:right="0" w:firstLine="480"/>
        <w:jc w:val="both"/>
        <w:keepLines w:val="0"/>
        <w:keepNext w:val="0"/>
        <w:pageBreakBefore w:val="0"/>
        <w:spacing w:line="520" w:lineRule="exact"/>
        <w:widowControl w:val="off"/>
        <w:tabs>
          <w:tab w:val="left" w:pos="1080" w:leader="none"/>
          <w:tab w:val="left" w:pos="2579"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在合同生效后，甲方无正当理由要求终止服务的，应向乙方偿付合同总价款的5%，作为违约金，违约金不足以补偿损失的，乙方有权要求甲方补足。</w:t>
      </w:r>
      <w:r/>
    </w:p>
    <w:p>
      <w:pPr>
        <w:ind w:left="0" w:right="0" w:firstLine="480"/>
        <w:jc w:val="both"/>
        <w:keepLines w:val="0"/>
        <w:keepNext w:val="0"/>
        <w:pageBreakBefore w:val="0"/>
        <w:spacing w:line="520" w:lineRule="exact"/>
        <w:widowControl w:val="off"/>
        <w:tabs>
          <w:tab w:val="left" w:pos="10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逾期付款的应按照逾期付款金额的每天万分之四支付逾期付款违约金。（如乙方未能提供合格的服务，导致甲方不能按期付款的，不视为甲方逾期付款）甲方违反合同规定，拒绝接受乙方提供服务，应当承担乙方由此造成的损失：                                         </w:t>
      </w:r>
      <w:r/>
    </w:p>
    <w:p>
      <w:pPr>
        <w:numPr>
          <w:ilvl w:val="1"/>
          <w:numId w:val="0"/>
        </w:numPr>
        <w:ind w:left="0" w:right="0" w:firstLine="480"/>
        <w:jc w:val="both"/>
        <w:keepLines w:val="0"/>
        <w:keepNext w:val="0"/>
        <w:pageBreakBefore w:val="0"/>
        <w:spacing w:line="520" w:lineRule="exact"/>
        <w:widowControl w:val="off"/>
        <w:tabs>
          <w:tab w:val="left" w:pos="54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color w:val="000000" w:themeColor="text1"/>
          <w:sz w:val="24"/>
          <w:szCs w:val="24"/>
          <w:highlight w:val="none"/>
          <w14:textFill>
            <w14:solidFill>
              <w14:schemeClr w14:val="tx1"/>
            </w14:solidFill>
          </w14:textFill>
        </w:rPr>
        <w:t xml:space="preserve">4.2</w:t>
      </w:r>
      <w:r>
        <w:rPr>
          <w:rFonts w:hint="eastAsia" w:ascii="宋体" w:hAnsi="宋体" w:eastAsia="宋体" w:cs="宋体"/>
          <w:color w:val="000000" w:themeColor="text1"/>
          <w:sz w:val="24"/>
          <w:szCs w:val="24"/>
          <w:highlight w:val="none"/>
          <w14:textFill>
            <w14:solidFill>
              <w14:schemeClr w14:val="tx1"/>
            </w14:solidFill>
          </w14:textFill>
        </w:rPr>
        <w:t xml:space="preserve">乙方违约责任及违约金支付：</w:t>
      </w:r>
      <w:r/>
    </w:p>
    <w:p>
      <w:pPr>
        <w:ind w:left="0" w:right="0" w:firstLine="480"/>
        <w:jc w:val="both"/>
        <w:keepLines w:val="0"/>
        <w:keepNext w:val="0"/>
        <w:pageBreakBefore w:val="0"/>
        <w:spacing w:line="520" w:lineRule="exact"/>
        <w:widowControl w:val="off"/>
        <w:tabs>
          <w:tab w:val="left" w:pos="1080" w:leader="none"/>
          <w:tab w:val="left" w:pos="2579"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乙方不能提供服务的，或服务不合格从而影响甲方按期正常使用的，应向甲方偿付合同总价款5%的违约金，违约金不足以补偿损失的甲方有权要求乙方补足。</w:t>
      </w:r>
      <w:r/>
    </w:p>
    <w:p>
      <w:pPr>
        <w:ind w:left="0" w:right="0" w:firstLine="480"/>
        <w:jc w:val="both"/>
        <w:keepLines w:val="0"/>
        <w:keepNext w:val="0"/>
        <w:pageBreakBefore w:val="0"/>
        <w:spacing w:line="520" w:lineRule="exact"/>
        <w:widowControl w:val="off"/>
        <w:tabs>
          <w:tab w:val="left" w:pos="10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乙方逾期提供服务的，应与甲方和政府采购管理部门协商，甲方仍需求的，乙方应立即提供服务按照逾期服务的每天万分之四支付逾期违约金，同时承担甲方因此遭致的损失费用。</w:t>
      </w:r>
      <w:r/>
    </w:p>
    <w:p>
      <w:pPr>
        <w:ind w:left="0" w:right="0" w:firstLine="480"/>
        <w:jc w:val="both"/>
        <w:keepLines w:val="0"/>
        <w:keepNext w:val="0"/>
        <w:pageBreakBefore w:val="0"/>
        <w:spacing w:line="520" w:lineRule="exact"/>
        <w:widowControl w:val="off"/>
        <w:tabs>
          <w:tab w:val="left" w:pos="1080"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4.3其他违约情形：</w:t>
      </w:r>
      <w:r>
        <w:rPr>
          <w:rFonts w:hint="eastAsia" w:ascii="宋体" w:hAnsi="宋体" w:eastAsia="宋体" w:cs="宋体"/>
          <w:color w:val="000000" w:themeColor="text1"/>
          <w:sz w:val="24"/>
          <w:szCs w:val="24"/>
          <w:highlight w:val="none"/>
          <w:u w:val="single"/>
          <w14:textFill>
            <w14:solidFill>
              <w14:schemeClr w14:val="tx1"/>
            </w14:solidFill>
          </w14:textFill>
        </w:rPr>
        <w:t xml:space="preserve">包括但不限于招标文件</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采购需求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中明确的所有内容。</w:t>
      </w:r>
      <w:r/>
    </w:p>
    <w:p>
      <w:pPr>
        <w:numPr>
          <w:ilvl w:val="0"/>
          <w:numId w:val="0"/>
        </w:numPr>
        <w:ind w:left="0" w:right="0" w:firstLine="482"/>
        <w:jc w:val="both"/>
        <w:keepLines w:val="0"/>
        <w:keepNext w:val="0"/>
        <w:pageBreakBefore w:val="0"/>
        <w:spacing w:line="520" w:lineRule="exact"/>
        <w:widowControl w:val="off"/>
        <w:tabs>
          <w:tab w:val="left" w:pos="567"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不可抗力</w:t>
      </w:r>
      <w:r/>
    </w:p>
    <w:p>
      <w:pPr>
        <w:numPr>
          <w:ilvl w:val="1"/>
          <w:numId w:val="0"/>
        </w:numPr>
        <w:ind w:left="0" w:right="0" w:firstLine="480"/>
        <w:jc w:val="both"/>
        <w:keepLines w:val="0"/>
        <w:keepNext w:val="0"/>
        <w:pageBreakBefore w:val="0"/>
        <w:spacing w:line="520" w:lineRule="exact"/>
        <w:widowControl w:val="off"/>
        <w:tabs>
          <w:tab w:val="left" w:pos="567"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color w:val="000000" w:themeColor="text1"/>
          <w:sz w:val="24"/>
          <w:szCs w:val="24"/>
          <w:highlight w:val="none"/>
          <w14:textFill>
            <w14:solidFill>
              <w14:schemeClr w14:val="tx1"/>
            </w14:solidFill>
          </w14:textFill>
        </w:rPr>
        <w:t xml:space="preserve">5.1.</w:t>
      </w:r>
      <w:r>
        <w:rPr>
          <w:rFonts w:hint="eastAsia" w:ascii="宋体" w:hAnsi="宋体" w:eastAsia="宋体" w:cs="宋体"/>
          <w:color w:val="000000" w:themeColor="text1"/>
          <w:sz w:val="24"/>
          <w:szCs w:val="24"/>
          <w:highlight w:val="none"/>
          <w14:textFill>
            <w14:solidFill>
              <w14:schemeClr w14:val="tx1"/>
            </w14:solidFill>
          </w14:textFill>
        </w:rPr>
        <w:t xml:space="preserve">因不可抗力不能履行合同的，根据不可抗力的影响，部分或者全部免除责任。但合同一方延迟履行后发生不可抗力的，不能免除责任。</w:t>
      </w:r>
      <w:r/>
    </w:p>
    <w:p>
      <w:pPr>
        <w:numPr>
          <w:ilvl w:val="1"/>
          <w:numId w:val="0"/>
        </w:numPr>
        <w:ind w:left="0" w:right="0" w:firstLine="480"/>
        <w:jc w:val="both"/>
        <w:keepLines w:val="0"/>
        <w:keepNext w:val="0"/>
        <w:pageBreakBefore w:val="0"/>
        <w:spacing w:line="520" w:lineRule="exact"/>
        <w:widowControl w:val="off"/>
        <w:tabs>
          <w:tab w:val="left" w:pos="567"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color w:val="000000" w:themeColor="text1"/>
          <w:sz w:val="24"/>
          <w:szCs w:val="24"/>
          <w:highlight w:val="none"/>
          <w14:textFill>
            <w14:solidFill>
              <w14:schemeClr w14:val="tx1"/>
            </w14:solidFill>
          </w14:textFill>
        </w:rPr>
        <w:t xml:space="preserve">5.2.</w:t>
      </w:r>
      <w:r>
        <w:rPr>
          <w:rFonts w:hint="eastAsia" w:ascii="宋体" w:hAnsi="宋体" w:eastAsia="宋体" w:cs="宋体"/>
          <w:color w:val="000000" w:themeColor="text1"/>
          <w:sz w:val="24"/>
          <w:szCs w:val="24"/>
          <w:highlight w:val="none"/>
          <w14:textFill>
            <w14:solidFill>
              <w14:schemeClr w14:val="tx1"/>
            </w14:solidFill>
          </w14:textFill>
        </w:rPr>
        <w:t xml:space="preserve">合同一方因不可抗力不能履行合同的，应当及时通知对方，以减轻可能给对方造成的损失，并应当在合理期限内提供证明。</w:t>
      </w:r>
      <w:r/>
    </w:p>
    <w:p>
      <w:pPr>
        <w:numPr>
          <w:ilvl w:val="0"/>
          <w:numId w:val="0"/>
        </w:numPr>
        <w:ind w:left="0" w:right="0" w:firstLine="482"/>
        <w:jc w:val="both"/>
        <w:keepLines w:val="0"/>
        <w:keepNext w:val="0"/>
        <w:pageBreakBefore w:val="0"/>
        <w:spacing w:line="520" w:lineRule="exact"/>
        <w:widowControl w:val="off"/>
        <w:tabs>
          <w:tab w:val="left" w:pos="567"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合同修改</w:t>
      </w:r>
      <w:r/>
    </w:p>
    <w:p>
      <w:pPr>
        <w:numPr>
          <w:ilvl w:val="1"/>
          <w:numId w:val="0"/>
        </w:numPr>
        <w:ind w:left="0" w:right="0" w:firstLine="480"/>
        <w:jc w:val="both"/>
        <w:keepLines w:val="0"/>
        <w:keepNext w:val="0"/>
        <w:pageBreakBefore w:val="0"/>
        <w:spacing w:line="520" w:lineRule="exact"/>
        <w:widowControl w:val="off"/>
        <w:tabs>
          <w:tab w:val="left" w:pos="567"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color w:val="000000" w:themeColor="text1"/>
          <w:sz w:val="24"/>
          <w:szCs w:val="24"/>
          <w:highlight w:val="none"/>
          <w14:textFill>
            <w14:solidFill>
              <w14:schemeClr w14:val="tx1"/>
            </w14:solidFill>
          </w14:textFill>
        </w:rPr>
        <w:t xml:space="preserve">6.1</w:t>
      </w:r>
      <w:r>
        <w:rPr>
          <w:rFonts w:hint="eastAsia" w:ascii="宋体" w:hAnsi="宋体" w:eastAsia="宋体" w:cs="宋体"/>
          <w:color w:val="000000" w:themeColor="text1"/>
          <w:sz w:val="24"/>
          <w:szCs w:val="24"/>
          <w:highlight w:val="none"/>
          <w14:textFill>
            <w14:solidFill>
              <w14:schemeClr w14:val="tx1"/>
            </w14:solidFill>
          </w14:textFill>
        </w:rPr>
        <w:t xml:space="preserve">甲方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丙方</w:t>
      </w:r>
      <w:r>
        <w:rPr>
          <w:rFonts w:hint="eastAsia" w:ascii="宋体" w:hAnsi="宋体" w:eastAsia="宋体" w:cs="宋体"/>
          <w:color w:val="000000" w:themeColor="text1"/>
          <w:sz w:val="24"/>
          <w:szCs w:val="24"/>
          <w:highlight w:val="none"/>
          <w14:textFill>
            <w14:solidFill>
              <w14:schemeClr w14:val="tx1"/>
            </w14:solidFill>
          </w14:textFill>
        </w:rPr>
        <w:t xml:space="preserve">都不得擅自变更本合同，但合同继续履行将损害国家和社会公共利益的除外。</w:t>
      </w:r>
      <w:r/>
    </w:p>
    <w:p>
      <w:pPr>
        <w:numPr>
          <w:ilvl w:val="0"/>
          <w:numId w:val="0"/>
        </w:numPr>
        <w:ind w:left="0" w:right="0" w:firstLine="482"/>
        <w:jc w:val="both"/>
        <w:keepLines w:val="0"/>
        <w:keepNext w:val="0"/>
        <w:pageBreakBefore w:val="0"/>
        <w:spacing w:line="520" w:lineRule="exact"/>
        <w:widowControl w:val="off"/>
        <w:tabs>
          <w:tab w:val="left" w:pos="567"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w:t>
      </w:r>
      <w:r>
        <w:rPr>
          <w:rFonts w:hint="eastAsia" w:ascii="宋体" w:hAnsi="宋体" w:eastAsia="宋体" w:cs="宋体"/>
          <w:b/>
          <w:color w:val="000000" w:themeColor="text1"/>
          <w:sz w:val="24"/>
          <w:szCs w:val="24"/>
          <w:highlight w:val="none"/>
          <w14:textFill>
            <w14:solidFill>
              <w14:schemeClr w14:val="tx1"/>
            </w14:solidFill>
          </w14:textFill>
        </w:rPr>
        <w:t xml:space="preserve">转让和分包</w:t>
      </w:r>
      <w:r/>
    </w:p>
    <w:p>
      <w:pPr>
        <w:numPr>
          <w:ilvl w:val="1"/>
          <w:numId w:val="0"/>
        </w:numPr>
        <w:ind w:left="0" w:right="0" w:firstLine="480"/>
        <w:jc w:val="both"/>
        <w:keepLines w:val="0"/>
        <w:keepNext w:val="0"/>
        <w:pageBreakBefore w:val="0"/>
        <w:spacing w:line="520" w:lineRule="exact"/>
        <w:widowControl w:val="off"/>
        <w:tabs>
          <w:tab w:val="left" w:pos="567"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color w:val="000000" w:themeColor="text1"/>
          <w:sz w:val="24"/>
          <w:szCs w:val="24"/>
          <w:highlight w:val="none"/>
          <w14:textFill>
            <w14:solidFill>
              <w14:schemeClr w14:val="tx1"/>
            </w14:solidFill>
          </w14:textFill>
        </w:rPr>
        <w:t xml:space="preserve">7.1</w:t>
      </w:r>
      <w:r>
        <w:rPr>
          <w:rFonts w:hint="eastAsia" w:ascii="宋体" w:hAnsi="宋体" w:eastAsia="宋体" w:cs="宋体"/>
          <w:color w:val="000000" w:themeColor="text1"/>
          <w:sz w:val="24"/>
          <w:szCs w:val="24"/>
          <w:highlight w:val="none"/>
          <w14:textFill>
            <w14:solidFill>
              <w14:schemeClr w14:val="tx1"/>
            </w14:solidFill>
          </w14:textFill>
        </w:rPr>
        <w:t xml:space="preserve">政府采购合同的部分和全部都不得转让。</w:t>
      </w:r>
      <w:r/>
    </w:p>
    <w:p>
      <w:pPr>
        <w:numPr>
          <w:ilvl w:val="0"/>
          <w:numId w:val="0"/>
        </w:numPr>
        <w:ind w:left="0" w:right="0" w:firstLine="482"/>
        <w:jc w:val="both"/>
        <w:keepLines w:val="0"/>
        <w:keepNext w:val="0"/>
        <w:pageBreakBefore w:val="0"/>
        <w:spacing w:line="520" w:lineRule="exact"/>
        <w:widowControl w:val="off"/>
        <w:tabs>
          <w:tab w:val="left" w:pos="567"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8.</w:t>
      </w:r>
      <w:r>
        <w:rPr>
          <w:rFonts w:hint="eastAsia" w:ascii="宋体" w:hAnsi="宋体" w:eastAsia="宋体" w:cs="宋体"/>
          <w:b/>
          <w:color w:val="000000" w:themeColor="text1"/>
          <w:sz w:val="24"/>
          <w:szCs w:val="24"/>
          <w:highlight w:val="none"/>
          <w14:textFill>
            <w14:solidFill>
              <w14:schemeClr w14:val="tx1"/>
            </w14:solidFill>
          </w14:textFill>
        </w:rPr>
        <w:t xml:space="preserve">合同的解除</w:t>
      </w:r>
      <w:r/>
    </w:p>
    <w:p>
      <w:pPr>
        <w:numPr>
          <w:ilvl w:val="1"/>
          <w:numId w:val="0"/>
        </w:numPr>
        <w:ind w:left="0" w:right="0" w:firstLine="480"/>
        <w:jc w:val="both"/>
        <w:keepLines w:val="0"/>
        <w:keepNext w:val="0"/>
        <w:pageBreakBefore w:val="0"/>
        <w:spacing w:line="520" w:lineRule="exact"/>
        <w:widowControl w:val="off"/>
        <w:tabs>
          <w:tab w:val="left" w:pos="567"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color w:val="000000" w:themeColor="text1"/>
          <w:sz w:val="24"/>
          <w:szCs w:val="24"/>
          <w:highlight w:val="none"/>
          <w14:textFill>
            <w14:solidFill>
              <w14:schemeClr w14:val="tx1"/>
            </w14:solidFill>
          </w14:textFill>
        </w:rPr>
        <w:t xml:space="preserve">8.1</w:t>
      </w:r>
      <w:r>
        <w:rPr>
          <w:rFonts w:hint="eastAsia" w:ascii="宋体" w:hAnsi="宋体" w:eastAsia="宋体" w:cs="宋体"/>
          <w:color w:val="000000" w:themeColor="text1"/>
          <w:sz w:val="24"/>
          <w:szCs w:val="24"/>
          <w:highlight w:val="none"/>
          <w14:textFill>
            <w14:solidFill>
              <w14:schemeClr w14:val="tx1"/>
            </w14:solidFill>
          </w14:textFill>
        </w:rPr>
        <w:t xml:space="preserve">有下列情形之一，合同一方可以解除合同：</w:t>
      </w:r>
      <w:r/>
    </w:p>
    <w:p>
      <w:pPr>
        <w:ind w:left="0" w:right="0" w:firstLine="480"/>
        <w:jc w:val="both"/>
        <w:keepLines w:val="0"/>
        <w:keepNext w:val="0"/>
        <w:pageBreakBefore w:val="0"/>
        <w:spacing w:line="520" w:lineRule="exact"/>
        <w:widowControl w:val="off"/>
        <w:tabs>
          <w:tab w:val="left" w:pos="1080" w:leader="none"/>
          <w:tab w:val="left" w:pos="2579"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因不可抗力致使不能实现合同目的，未受不可抗力影响的一方有权解除合同；因合同一方违约导致合同不能履行，另一方有权解除合同。</w:t>
      </w:r>
      <w:r/>
    </w:p>
    <w:p>
      <w:pPr>
        <w:numPr>
          <w:ilvl w:val="1"/>
          <w:numId w:val="0"/>
        </w:numPr>
        <w:ind w:left="0" w:right="0" w:firstLine="480"/>
        <w:jc w:val="both"/>
        <w:keepLines w:val="0"/>
        <w:keepNext w:val="0"/>
        <w:pageBreakBefore w:val="0"/>
        <w:spacing w:line="520" w:lineRule="exact"/>
        <w:widowControl w:val="off"/>
        <w:tabs>
          <w:tab w:val="left" w:pos="567"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color w:val="000000" w:themeColor="text1"/>
          <w:sz w:val="24"/>
          <w:szCs w:val="24"/>
          <w:highlight w:val="none"/>
          <w14:textFill>
            <w14:solidFill>
              <w14:schemeClr w14:val="tx1"/>
            </w14:solidFill>
          </w14:textFill>
        </w:rPr>
        <w:t xml:space="preserve">8.2</w:t>
      </w:r>
      <w:r>
        <w:rPr>
          <w:rFonts w:hint="eastAsia" w:ascii="宋体" w:hAnsi="宋体" w:eastAsia="宋体" w:cs="宋体"/>
          <w:color w:val="000000" w:themeColor="text1"/>
          <w:sz w:val="24"/>
          <w:szCs w:val="24"/>
          <w:highlight w:val="none"/>
          <w14:textFill>
            <w14:solidFill>
              <w14:schemeClr w14:val="tx1"/>
            </w14:solidFill>
          </w14:textFill>
        </w:rPr>
        <w:t xml:space="preserve">有权解除合同的一方，应当在违约事实或不可抗力发生之后三十天内书面通知对方以主张解除合同，合同在书面通知到达对方时解除。</w:t>
      </w:r>
      <w:r/>
    </w:p>
    <w:p>
      <w:pPr>
        <w:numPr>
          <w:ilvl w:val="0"/>
          <w:numId w:val="0"/>
        </w:numPr>
        <w:ind w:left="0" w:right="0" w:firstLine="482"/>
        <w:jc w:val="both"/>
        <w:keepLines w:val="0"/>
        <w:keepNext w:val="0"/>
        <w:pageBreakBefore w:val="0"/>
        <w:spacing w:line="520" w:lineRule="exact"/>
        <w:widowControl w:val="off"/>
        <w:tabs>
          <w:tab w:val="left" w:pos="567"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9.</w:t>
      </w:r>
      <w:r>
        <w:rPr>
          <w:rFonts w:hint="eastAsia" w:ascii="宋体" w:hAnsi="宋体" w:eastAsia="宋体" w:cs="宋体"/>
          <w:b/>
          <w:color w:val="000000" w:themeColor="text1"/>
          <w:sz w:val="24"/>
          <w:szCs w:val="24"/>
          <w:highlight w:val="none"/>
          <w14:textFill>
            <w14:solidFill>
              <w14:schemeClr w14:val="tx1"/>
            </w14:solidFill>
          </w14:textFill>
        </w:rPr>
        <w:t xml:space="preserve">争议解决办法</w:t>
      </w:r>
      <w:r/>
    </w:p>
    <w:p>
      <w:pPr>
        <w:ind w:left="0" w:right="0"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因本合同或与本合同有关的一切事项发生争议，由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甲乙丙</w:t>
      </w:r>
      <w:r>
        <w:rPr>
          <w:rFonts w:hint="eastAsia" w:ascii="宋体" w:hAnsi="宋体" w:eastAsia="宋体" w:cs="宋体"/>
          <w:color w:val="000000" w:themeColor="text1"/>
          <w:sz w:val="24"/>
          <w:szCs w:val="24"/>
          <w:highlight w:val="none"/>
          <w14:textFill>
            <w14:solidFill>
              <w14:schemeClr w14:val="tx1"/>
            </w14:solidFill>
          </w14:textFill>
        </w:rPr>
        <w:t xml:space="preserve">友好协商解决。协商不成的，任何一方均可选择以下方式解决：</w:t>
      </w:r>
      <w:r/>
    </w:p>
    <w:p>
      <w:pPr>
        <w:ind w:left="0" w:right="0"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方式一：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三方</w:t>
      </w:r>
      <w:r>
        <w:rPr>
          <w:rFonts w:hint="eastAsia" w:ascii="宋体" w:hAnsi="宋体" w:eastAsia="宋体" w:cs="宋体"/>
          <w:color w:val="000000" w:themeColor="text1"/>
          <w:sz w:val="24"/>
          <w:szCs w:val="24"/>
          <w:highlight w:val="none"/>
          <w14:textFill>
            <w14:solidFill>
              <w14:schemeClr w14:val="tx1"/>
            </w14:solidFill>
          </w14:textFill>
        </w:rPr>
        <w:t xml:space="preserve">达成仲裁协议，向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泰州</w:t>
      </w:r>
      <w:r>
        <w:rPr>
          <w:rFonts w:hint="eastAsia" w:ascii="宋体" w:hAnsi="宋体" w:eastAsia="宋体" w:cs="宋体"/>
          <w:color w:val="000000" w:themeColor="text1"/>
          <w:sz w:val="24"/>
          <w:szCs w:val="24"/>
          <w:highlight w:val="none"/>
          <w14:textFill>
            <w14:solidFill>
              <w14:schemeClr w14:val="tx1"/>
            </w14:solidFill>
          </w14:textFill>
        </w:rPr>
        <w:t xml:space="preserve">仲裁委员会申请仲裁，本合同约定的仲裁委员会是合同履行地仲裁机构；</w:t>
      </w:r>
      <w:r/>
    </w:p>
    <w:p>
      <w:pPr>
        <w:ind w:left="0" w:right="0"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方式二：向甲方所在地的人民法院起诉。</w:t>
      </w:r>
      <w:r/>
    </w:p>
    <w:p>
      <w:pPr>
        <w:numPr>
          <w:ilvl w:val="0"/>
          <w:numId w:val="0"/>
        </w:numPr>
        <w:ind w:left="0" w:right="0" w:firstLine="482"/>
        <w:jc w:val="both"/>
        <w:keepLines w:val="0"/>
        <w:keepNext w:val="0"/>
        <w:pageBreakBefore w:val="0"/>
        <w:spacing w:line="520" w:lineRule="exact"/>
        <w:widowControl w:val="off"/>
        <w:tabs>
          <w:tab w:val="left" w:pos="567"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10.</w:t>
      </w:r>
      <w:r>
        <w:rPr>
          <w:rFonts w:hint="eastAsia" w:ascii="宋体" w:hAnsi="宋体" w:eastAsia="宋体" w:cs="宋体"/>
          <w:b/>
          <w:color w:val="000000" w:themeColor="text1"/>
          <w:sz w:val="24"/>
          <w:szCs w:val="24"/>
          <w:highlight w:val="none"/>
          <w14:textFill>
            <w14:solidFill>
              <w14:schemeClr w14:val="tx1"/>
            </w14:solidFill>
          </w14:textFill>
        </w:rPr>
        <w:t xml:space="preserve">合同生效及其他</w:t>
      </w:r>
      <w:r/>
    </w:p>
    <w:p>
      <w:pPr>
        <w:numPr>
          <w:ilvl w:val="1"/>
          <w:numId w:val="0"/>
        </w:numPr>
        <w:ind w:left="0" w:right="0" w:firstLine="480"/>
        <w:jc w:val="both"/>
        <w:keepLines w:val="0"/>
        <w:keepNext w:val="0"/>
        <w:pageBreakBefore w:val="0"/>
        <w:spacing w:line="520" w:lineRule="exact"/>
        <w:widowControl w:val="off"/>
        <w:tabs>
          <w:tab w:val="left" w:pos="567"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color w:val="000000" w:themeColor="text1"/>
          <w:sz w:val="24"/>
          <w:szCs w:val="24"/>
          <w:highlight w:val="none"/>
          <w14:textFill>
            <w14:solidFill>
              <w14:schemeClr w14:val="tx1"/>
            </w14:solidFill>
          </w14:textFill>
        </w:rPr>
        <w:t xml:space="preserve">10.1</w:t>
      </w:r>
      <w:r>
        <w:rPr>
          <w:rFonts w:hint="eastAsia" w:ascii="宋体" w:hAnsi="宋体" w:eastAsia="宋体" w:cs="宋体"/>
          <w:color w:val="000000" w:themeColor="text1"/>
          <w:sz w:val="24"/>
          <w:szCs w:val="24"/>
          <w:highlight w:val="none"/>
          <w14:textFill>
            <w14:solidFill>
              <w14:schemeClr w14:val="tx1"/>
            </w14:solidFill>
          </w14:textFill>
        </w:rPr>
        <w:t xml:space="preserve">本合同经双方签字并盖公章后生效。</w:t>
      </w:r>
      <w:r/>
    </w:p>
    <w:p>
      <w:pPr>
        <w:numPr>
          <w:ilvl w:val="1"/>
          <w:numId w:val="0"/>
        </w:numPr>
        <w:ind w:left="0" w:right="0" w:firstLine="480"/>
        <w:jc w:val="both"/>
        <w:keepLines w:val="0"/>
        <w:keepNext w:val="0"/>
        <w:pageBreakBefore w:val="0"/>
        <w:spacing w:line="520" w:lineRule="exact"/>
        <w:widowControl w:val="off"/>
        <w:tabs>
          <w:tab w:val="left" w:pos="567"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color w:val="000000" w:themeColor="text1"/>
          <w:sz w:val="24"/>
          <w:szCs w:val="24"/>
          <w:highlight w:val="none"/>
          <w14:textFill>
            <w14:solidFill>
              <w14:schemeClr w14:val="tx1"/>
            </w14:solidFill>
          </w14:textFill>
        </w:rPr>
        <w:t xml:space="preserve">10.2</w:t>
      </w:r>
      <w:r>
        <w:rPr>
          <w:rFonts w:hint="eastAsia" w:ascii="宋体" w:hAnsi="宋体" w:eastAsia="宋体" w:cs="宋体"/>
          <w:color w:val="000000" w:themeColor="text1"/>
          <w:sz w:val="24"/>
          <w:szCs w:val="24"/>
          <w:highlight w:val="none"/>
          <w14:textFill>
            <w14:solidFill>
              <w14:schemeClr w14:val="tx1"/>
            </w14:solidFill>
          </w14:textFill>
        </w:rPr>
        <w:t xml:space="preserve">下列文件为本合同不可分割部分：</w:t>
      </w:r>
      <w:r/>
    </w:p>
    <w:p>
      <w:pPr>
        <w:numPr>
          <w:ilvl w:val="0"/>
          <w:numId w:val="0"/>
        </w:numPr>
        <w:ind w:left="0" w:right="0" w:firstLine="480"/>
        <w:jc w:val="both"/>
        <w:keepLines w:val="0"/>
        <w:keepNext w:val="0"/>
        <w:pageBreakBefore w:val="0"/>
        <w:spacing w:line="520" w:lineRule="exact"/>
        <w:widowControl w:val="off"/>
        <w:tabs>
          <w:tab w:val="left" w:pos="993"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中标通知书；</w:t>
      </w:r>
      <w:r/>
    </w:p>
    <w:p>
      <w:pPr>
        <w:numPr>
          <w:ilvl w:val="0"/>
          <w:numId w:val="0"/>
        </w:numPr>
        <w:ind w:left="0" w:right="0" w:firstLine="480"/>
        <w:jc w:val="both"/>
        <w:keepLines w:val="0"/>
        <w:keepNext w:val="0"/>
        <w:pageBreakBefore w:val="0"/>
        <w:spacing w:line="520" w:lineRule="exact"/>
        <w:widowControl w:val="off"/>
        <w:tabs>
          <w:tab w:val="left" w:pos="993"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乙方响应文件；</w:t>
      </w:r>
      <w:r/>
    </w:p>
    <w:p>
      <w:pPr>
        <w:numPr>
          <w:ilvl w:val="0"/>
          <w:numId w:val="0"/>
        </w:numPr>
        <w:ind w:left="0" w:right="0" w:firstLine="480"/>
        <w:jc w:val="both"/>
        <w:keepLines w:val="0"/>
        <w:keepNext w:val="0"/>
        <w:pageBreakBefore w:val="0"/>
        <w:spacing w:line="520" w:lineRule="exact"/>
        <w:widowControl w:val="off"/>
        <w:tabs>
          <w:tab w:val="left" w:pos="993"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采购文件；</w:t>
      </w:r>
      <w:r/>
    </w:p>
    <w:p>
      <w:pPr>
        <w:numPr>
          <w:ilvl w:val="0"/>
          <w:numId w:val="0"/>
        </w:numPr>
        <w:ind w:left="0" w:right="0" w:firstLine="480"/>
        <w:jc w:val="both"/>
        <w:keepLines w:val="0"/>
        <w:keepNext w:val="0"/>
        <w:pageBreakBefore w:val="0"/>
        <w:spacing w:line="520" w:lineRule="exact"/>
        <w:widowControl w:val="off"/>
        <w:tabs>
          <w:tab w:val="left" w:pos="993"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乙方在投标过程中所作的其他承诺、声明、书面澄清等。</w:t>
      </w:r>
      <w:r/>
    </w:p>
    <w:p>
      <w:pPr>
        <w:numPr>
          <w:ilvl w:val="0"/>
          <w:numId w:val="0"/>
        </w:numPr>
        <w:ind w:left="0" w:right="0" w:firstLine="482"/>
        <w:jc w:val="both"/>
        <w:keepLines w:val="0"/>
        <w:keepNext w:val="0"/>
        <w:pageBreakBefore w:val="0"/>
        <w:spacing w:line="520" w:lineRule="exact"/>
        <w:widowControl w:val="off"/>
        <w:tabs>
          <w:tab w:val="left" w:pos="567"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11.</w:t>
      </w:r>
      <w:r>
        <w:rPr>
          <w:rFonts w:hint="eastAsia" w:ascii="宋体" w:hAnsi="宋体" w:eastAsia="宋体" w:cs="宋体"/>
          <w:b/>
          <w:color w:val="000000" w:themeColor="text1"/>
          <w:sz w:val="24"/>
          <w:szCs w:val="24"/>
          <w:highlight w:val="none"/>
          <w14:textFill>
            <w14:solidFill>
              <w14:schemeClr w14:val="tx1"/>
            </w14:solidFill>
          </w14:textFill>
        </w:rPr>
        <w:t xml:space="preserve">未尽事宜</w:t>
      </w:r>
      <w:r/>
    </w:p>
    <w:p>
      <w:pPr>
        <w:numPr>
          <w:ilvl w:val="1"/>
          <w:numId w:val="0"/>
        </w:numPr>
        <w:ind w:left="0" w:right="0" w:firstLine="480"/>
        <w:jc w:val="both"/>
        <w:keepLines w:val="0"/>
        <w:keepNext w:val="0"/>
        <w:pageBreakBefore w:val="0"/>
        <w:spacing w:line="520" w:lineRule="exact"/>
        <w:widowControl w:val="off"/>
        <w:tabs>
          <w:tab w:val="left" w:pos="567"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val="0"/>
          <w:color w:val="000000" w:themeColor="text1"/>
          <w:sz w:val="24"/>
          <w:szCs w:val="24"/>
          <w:highlight w:val="none"/>
          <w14:textFill>
            <w14:solidFill>
              <w14:schemeClr w14:val="tx1"/>
            </w14:solidFill>
          </w14:textFill>
        </w:rPr>
        <w:t xml:space="preserve">11.1</w:t>
      </w:r>
      <w:r>
        <w:rPr>
          <w:rFonts w:hint="eastAsia" w:ascii="宋体" w:hAnsi="宋体" w:eastAsia="宋体" w:cs="宋体"/>
          <w:color w:val="000000" w:themeColor="text1"/>
          <w:sz w:val="24"/>
          <w:szCs w:val="24"/>
          <w:highlight w:val="none"/>
          <w14:textFill>
            <w14:solidFill>
              <w14:schemeClr w14:val="tx1"/>
            </w14:solidFill>
          </w14:textFill>
        </w:rPr>
        <w:t xml:space="preserve">应按照《中华人民共和国民法典》、《中华人民共和国政府采购法》等相关法律法规之规定解释。</w:t>
      </w:r>
      <w:r>
        <w:rPr>
          <w:rFonts w:hint="eastAsia" w:ascii="宋体" w:hAnsi="宋体" w:eastAsia="宋体" w:cs="宋体"/>
          <w:color w:val="000000" w:themeColor="text1"/>
          <w:sz w:val="24"/>
          <w:szCs w:val="24"/>
          <w:highlight w:val="none"/>
          <w14:textFill>
            <w14:solidFill>
              <w14:schemeClr w14:val="tx1"/>
            </w14:solidFill>
          </w14:textFill>
        </w:rPr>
        <w:br w:type="textWrapping" w:clear="all"/>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11.2采购文件作为合同的组成部分，其它未尽事宜详见采购文件约定。</w:t>
      </w:r>
      <w:r/>
    </w:p>
    <w:p>
      <w:pPr>
        <w:numPr>
          <w:ilvl w:val="0"/>
          <w:numId w:val="0"/>
        </w:numPr>
        <w:ind w:left="0" w:right="0" w:firstLine="482"/>
        <w:jc w:val="both"/>
        <w:keepLines w:val="0"/>
        <w:keepNext w:val="0"/>
        <w:pageBreakBefore w:val="0"/>
        <w:spacing w:line="520" w:lineRule="exact"/>
        <w:widowControl w:val="off"/>
        <w:tabs>
          <w:tab w:val="left" w:pos="567"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color w:val="000000" w:themeColor="text1"/>
          <w:sz w:val="24"/>
          <w:szCs w:val="24"/>
          <w:highlight w:val="none"/>
          <w14:textFill>
            <w14:solidFill>
              <w14:schemeClr w14:val="tx1"/>
            </w14:solidFill>
          </w14:textFill>
        </w:rPr>
        <w:t xml:space="preserve">附则</w:t>
      </w:r>
      <w:r/>
    </w:p>
    <w:p>
      <w:pPr>
        <w:numPr>
          <w:ilvl w:val="1"/>
          <w:numId w:val="0"/>
        </w:numPr>
        <w:ind w:left="0" w:right="0" w:firstLine="480"/>
        <w:jc w:val="both"/>
        <w:keepLines w:val="0"/>
        <w:keepNext w:val="0"/>
        <w:pageBreakBefore w:val="0"/>
        <w:spacing w:line="520" w:lineRule="exact"/>
        <w:widowControl w:val="off"/>
        <w:tabs>
          <w:tab w:val="left" w:pos="567"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本合同一式</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14:textFill>
            <w14:solidFill>
              <w14:schemeClr w14:val="tx1"/>
            </w14:solidFill>
          </w14:textFill>
        </w:rPr>
        <w:t xml:space="preserve">份，甲、乙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丙</w:t>
      </w:r>
      <w:r>
        <w:rPr>
          <w:rFonts w:hint="eastAsia" w:ascii="宋体" w:hAnsi="宋体" w:eastAsia="宋体" w:cs="宋体"/>
          <w:color w:val="000000" w:themeColor="text1"/>
          <w:sz w:val="24"/>
          <w:szCs w:val="24"/>
          <w:highlight w:val="none"/>
          <w14:textFill>
            <w14:solidFill>
              <w14:schemeClr w14:val="tx1"/>
            </w14:solidFill>
          </w14:textFill>
        </w:rPr>
        <w:t xml:space="preserve">方各执</w:t>
      </w:r>
      <w:r>
        <w:rPr>
          <w:rFonts w:hint="eastAsia" w:ascii="宋体" w:hAnsi="宋体" w:eastAsia="宋体" w:cs="宋体"/>
          <w:color w:val="000000" w:themeColor="text1"/>
          <w:sz w:val="24"/>
          <w:szCs w:val="24"/>
          <w:highlight w:val="none"/>
          <w:u w:val="single"/>
          <w14:textFill>
            <w14:solidFill>
              <w14:schemeClr w14:val="tx1"/>
            </w14:solidFill>
          </w14:textFill>
        </w:rPr>
        <w:t xml:space="preserve"> 一</w:t>
      </w:r>
      <w:r>
        <w:rPr>
          <w:rFonts w:hint="eastAsia" w:ascii="宋体" w:hAnsi="宋体" w:eastAsia="宋体" w:cs="宋体"/>
          <w:color w:val="000000" w:themeColor="text1"/>
          <w:sz w:val="24"/>
          <w:szCs w:val="24"/>
          <w:highlight w:val="none"/>
          <w14:textFill>
            <w14:solidFill>
              <w14:schemeClr w14:val="tx1"/>
            </w14:solidFill>
          </w14:textFill>
        </w:rPr>
        <w:t xml:space="preserve">份，采购代理机构一份。</w:t>
      </w:r>
      <w:r/>
    </w:p>
    <w:p>
      <w:pPr>
        <w:ind w:firstLine="480"/>
        <w:jc w:val="left"/>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bl>
      <w:tblPr>
        <w:tblStyle w:val="731"/>
        <w:tblW w:w="0" w:type="auto"/>
        <w:jc w:val="center"/>
        <w:tblLayout w:type="fixed"/>
        <w:tblCellMar>
          <w:left w:w="108" w:type="dxa"/>
          <w:top w:w="0" w:type="dxa"/>
          <w:right w:w="108" w:type="dxa"/>
          <w:bottom w:w="0" w:type="dxa"/>
        </w:tblCellMar>
        <w:tblLook w:val="04A0" w:firstRow="1" w:lastRow="0" w:firstColumn="1" w:lastColumn="0" w:noHBand="0" w:noVBand="1"/>
      </w:tblPr>
      <w:tblGrid>
        <w:gridCol w:w="4189"/>
        <w:gridCol w:w="4189"/>
      </w:tblGrid>
      <w:tr>
        <w:trPr>
          <w:jc w:val="center"/>
          <w:trHeight w:val="474"/>
        </w:trPr>
        <w:tc>
          <w:tcPr>
            <w:tcBorders>
              <w:top w:val="none" w:color="000000" w:sz="4" w:space="0"/>
              <w:left w:val="none" w:color="000000" w:sz="4" w:space="0"/>
              <w:bottom w:val="none" w:color="000000" w:sz="4" w:space="0"/>
              <w:right w:val="none" w:color="000000" w:sz="4" w:space="0"/>
            </w:tcBorders>
            <w:tcW w:w="4189" w:type="dxa"/>
            <w:vAlign w:val="center"/>
            <w:textDirection w:val="lrTb"/>
            <w:noWrap w:val="false"/>
          </w:tcPr>
          <w:p>
            <w:pPr>
              <w:jc w:val="left"/>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甲方（盖章）：</w:t>
            </w:r>
            <w:r/>
          </w:p>
        </w:tc>
        <w:tc>
          <w:tcPr>
            <w:tcBorders>
              <w:top w:val="none" w:color="000000" w:sz="4" w:space="0"/>
              <w:left w:val="none" w:color="000000" w:sz="4" w:space="0"/>
              <w:bottom w:val="none" w:color="000000" w:sz="4" w:space="0"/>
              <w:right w:val="none" w:color="000000" w:sz="4" w:space="0"/>
            </w:tcBorders>
            <w:tcW w:w="4189" w:type="dxa"/>
            <w:vAlign w:val="center"/>
            <w:textDirection w:val="lrTb"/>
            <w:noWrap w:val="false"/>
          </w:tcPr>
          <w:p>
            <w:pPr>
              <w:jc w:val="left"/>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乙方（盖章）：</w:t>
            </w:r>
            <w:r/>
          </w:p>
        </w:tc>
      </w:tr>
      <w:tr>
        <w:trPr>
          <w:jc w:val="center"/>
          <w:trHeight w:val="463"/>
        </w:trPr>
        <w:tc>
          <w:tcPr>
            <w:tcBorders>
              <w:top w:val="none" w:color="000000" w:sz="4" w:space="0"/>
              <w:left w:val="none" w:color="000000" w:sz="4" w:space="0"/>
              <w:bottom w:val="none" w:color="000000" w:sz="4" w:space="0"/>
              <w:right w:val="none" w:color="000000" w:sz="4" w:space="0"/>
            </w:tcBorders>
            <w:tcW w:w="4189" w:type="dxa"/>
            <w:vAlign w:val="center"/>
            <w:textDirection w:val="lrTb"/>
            <w:noWrap w:val="false"/>
          </w:tcPr>
          <w:p>
            <w:pPr>
              <w:jc w:val="left"/>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代表人（签字）：</w:t>
            </w:r>
            <w:r/>
          </w:p>
        </w:tc>
        <w:tc>
          <w:tcPr>
            <w:tcBorders>
              <w:top w:val="none" w:color="000000" w:sz="4" w:space="0"/>
              <w:left w:val="none" w:color="000000" w:sz="4" w:space="0"/>
              <w:bottom w:val="none" w:color="000000" w:sz="4" w:space="0"/>
              <w:right w:val="none" w:color="000000" w:sz="4" w:space="0"/>
            </w:tcBorders>
            <w:tcW w:w="4189" w:type="dxa"/>
            <w:vAlign w:val="center"/>
            <w:textDirection w:val="lrTb"/>
            <w:noWrap w:val="false"/>
          </w:tcPr>
          <w:p>
            <w:pPr>
              <w:jc w:val="left"/>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代表人（签字）：</w:t>
            </w:r>
            <w:r/>
          </w:p>
        </w:tc>
      </w:tr>
      <w:tr>
        <w:trPr>
          <w:jc w:val="center"/>
          <w:trHeight w:val="474"/>
        </w:trPr>
        <w:tc>
          <w:tcPr>
            <w:tcBorders>
              <w:top w:val="none" w:color="000000" w:sz="4" w:space="0"/>
              <w:left w:val="none" w:color="000000" w:sz="4" w:space="0"/>
              <w:bottom w:val="none" w:color="000000" w:sz="4" w:space="0"/>
              <w:right w:val="none" w:color="000000" w:sz="4" w:space="0"/>
            </w:tcBorders>
            <w:tcW w:w="4189" w:type="dxa"/>
            <w:vAlign w:val="center"/>
            <w:textDirection w:val="lrTb"/>
            <w:noWrap w:val="false"/>
          </w:tcPr>
          <w:p>
            <w:pPr>
              <w:jc w:val="left"/>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p>
        </w:tc>
        <w:tc>
          <w:tcPr>
            <w:tcBorders>
              <w:top w:val="none" w:color="000000" w:sz="4" w:space="0"/>
              <w:left w:val="none" w:color="000000" w:sz="4" w:space="0"/>
              <w:bottom w:val="none" w:color="000000" w:sz="4" w:space="0"/>
              <w:right w:val="none" w:color="000000" w:sz="4" w:space="0"/>
            </w:tcBorders>
            <w:tcW w:w="4189" w:type="dxa"/>
            <w:vAlign w:val="center"/>
            <w:textDirection w:val="lrTb"/>
            <w:noWrap w:val="false"/>
          </w:tcPr>
          <w:p>
            <w:pPr>
              <w:jc w:val="left"/>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p>
        </w:tc>
      </w:tr>
      <w:tr>
        <w:trPr>
          <w:jc w:val="center"/>
          <w:trHeight w:val="474"/>
        </w:trPr>
        <w:tc>
          <w:tcPr>
            <w:tcBorders>
              <w:top w:val="none" w:color="000000" w:sz="4" w:space="0"/>
              <w:left w:val="none" w:color="000000" w:sz="4" w:space="0"/>
              <w:bottom w:val="none" w:color="000000" w:sz="4" w:space="0"/>
              <w:right w:val="none" w:color="000000" w:sz="4" w:space="0"/>
            </w:tcBorders>
            <w:tcW w:w="4189" w:type="dxa"/>
            <w:vAlign w:val="center"/>
            <w:textDirection w:val="lrTb"/>
            <w:noWrap w:val="false"/>
          </w:tcPr>
          <w:p>
            <w:pPr>
              <w:jc w:val="left"/>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4189" w:type="dxa"/>
            <w:vAlign w:val="center"/>
            <w:textDirection w:val="lrTb"/>
            <w:noWrap w:val="false"/>
          </w:tcPr>
          <w:p>
            <w:pPr>
              <w:jc w:val="left"/>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p>
          <w:p>
            <w:pPr>
              <w:pStyle w:val="78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账户号码：</w:t>
            </w:r>
            <w:r/>
          </w:p>
        </w:tc>
      </w:tr>
      <w:tr>
        <w:trPr>
          <w:jc w:val="center"/>
          <w:trHeight w:val="474"/>
        </w:trPr>
        <w:tc>
          <w:tcPr>
            <w:tcBorders>
              <w:top w:val="none" w:color="000000" w:sz="4" w:space="0"/>
              <w:left w:val="none" w:color="000000" w:sz="4" w:space="0"/>
              <w:bottom w:val="none" w:color="000000" w:sz="4" w:space="0"/>
              <w:right w:val="none" w:color="000000" w:sz="4" w:space="0"/>
            </w:tcBorders>
            <w:tcW w:w="4189" w:type="dxa"/>
            <w:vAlign w:val="center"/>
            <w:textDirection w:val="lrTb"/>
            <w:noWrap w:val="false"/>
          </w:tcPr>
          <w:p>
            <w:pPr>
              <w:jc w:val="left"/>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  月   日</w:t>
            </w:r>
            <w:r/>
          </w:p>
        </w:tc>
        <w:tc>
          <w:tcPr>
            <w:tcBorders>
              <w:top w:val="none" w:color="000000" w:sz="4" w:space="0"/>
              <w:left w:val="none" w:color="000000" w:sz="4" w:space="0"/>
              <w:bottom w:val="none" w:color="000000" w:sz="4" w:space="0"/>
              <w:right w:val="none" w:color="000000" w:sz="4" w:space="0"/>
            </w:tcBorders>
            <w:tcW w:w="4189" w:type="dxa"/>
            <w:vAlign w:val="center"/>
            <w:textDirection w:val="lrTb"/>
            <w:noWrap w:val="false"/>
          </w:tcPr>
          <w:p>
            <w:pPr>
              <w:pStyle w:val="78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  月   日</w:t>
            </w:r>
            <w:r/>
          </w:p>
        </w:tc>
      </w:tr>
      <w:tr>
        <w:trPr>
          <w:jc w:val="center"/>
          <w:trHeight w:val="1020"/>
        </w:trPr>
        <w:tc>
          <w:tcPr>
            <w:tcBorders>
              <w:top w:val="none" w:color="000000" w:sz="4" w:space="0"/>
              <w:left w:val="none" w:color="000000" w:sz="4" w:space="0"/>
              <w:bottom w:val="none" w:color="000000" w:sz="4" w:space="0"/>
              <w:right w:val="none" w:color="000000" w:sz="4" w:space="0"/>
            </w:tcBorders>
            <w:tcW w:w="4189" w:type="dxa"/>
            <w:vAlign w:val="center"/>
            <w:textDirection w:val="lrTb"/>
            <w:noWrap w:val="false"/>
          </w:tcPr>
          <w:p>
            <w:pPr>
              <w:jc w:val="left"/>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4189" w:type="dxa"/>
            <w:vAlign w:val="center"/>
            <w:textDirection w:val="lrTb"/>
            <w:noWrap w:val="false"/>
          </w:tcPr>
          <w:p>
            <w:pPr>
              <w:pStyle w:val="78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474"/>
        </w:trPr>
        <w:tc>
          <w:tcPr>
            <w:tcBorders>
              <w:top w:val="none" w:color="000000" w:sz="4" w:space="0"/>
              <w:left w:val="none" w:color="000000" w:sz="4" w:space="0"/>
              <w:bottom w:val="none" w:color="000000" w:sz="4" w:space="0"/>
              <w:right w:val="none" w:color="000000" w:sz="4" w:space="0"/>
            </w:tcBorders>
            <w:tcW w:w="4189" w:type="dxa"/>
            <w:vAlign w:val="center"/>
            <w:textDirection w:val="lrTb"/>
            <w:noWrap w:val="false"/>
          </w:tcPr>
          <w:p>
            <w:pPr>
              <w:jc w:val="left"/>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盖章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189" w:type="dxa"/>
            <w:vAlign w:val="center"/>
            <w:textDirection w:val="lrTb"/>
            <w:noWrap w:val="false"/>
          </w:tcPr>
          <w:p>
            <w:pPr>
              <w:pStyle w:val="78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474"/>
        </w:trPr>
        <w:tc>
          <w:tcPr>
            <w:tcBorders>
              <w:top w:val="none" w:color="000000" w:sz="4" w:space="0"/>
              <w:left w:val="none" w:color="000000" w:sz="4" w:space="0"/>
              <w:bottom w:val="none" w:color="000000" w:sz="4" w:space="0"/>
              <w:right w:val="none" w:color="000000" w:sz="4" w:space="0"/>
            </w:tcBorders>
            <w:tcW w:w="4189" w:type="dxa"/>
            <w:vAlign w:val="center"/>
            <w:textDirection w:val="lrTb"/>
            <w:noWrap w:val="false"/>
          </w:tcPr>
          <w:p>
            <w:pPr>
              <w:jc w:val="left"/>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p>
        </w:tc>
        <w:tc>
          <w:tcPr>
            <w:tcBorders>
              <w:top w:val="none" w:color="000000" w:sz="4" w:space="0"/>
              <w:left w:val="none" w:color="000000" w:sz="4" w:space="0"/>
              <w:bottom w:val="none" w:color="000000" w:sz="4" w:space="0"/>
              <w:right w:val="none" w:color="000000" w:sz="4" w:space="0"/>
            </w:tcBorders>
            <w:tcW w:w="4189" w:type="dxa"/>
            <w:vAlign w:val="center"/>
            <w:textDirection w:val="lrTb"/>
            <w:noWrap w:val="false"/>
          </w:tcPr>
          <w:p>
            <w:pPr>
              <w:pStyle w:val="78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474"/>
        </w:trPr>
        <w:tc>
          <w:tcPr>
            <w:tcBorders>
              <w:top w:val="none" w:color="000000" w:sz="4" w:space="0"/>
              <w:left w:val="none" w:color="000000" w:sz="4" w:space="0"/>
              <w:bottom w:val="none" w:color="000000" w:sz="4" w:space="0"/>
              <w:right w:val="none" w:color="000000" w:sz="4" w:space="0"/>
            </w:tcBorders>
            <w:tcW w:w="4189" w:type="dxa"/>
            <w:vAlign w:val="center"/>
            <w:textDirection w:val="lrTb"/>
            <w:noWrap w:val="false"/>
          </w:tcPr>
          <w:p>
            <w:pPr>
              <w:jc w:val="left"/>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代表人（签字）：</w:t>
            </w:r>
            <w:r/>
          </w:p>
        </w:tc>
        <w:tc>
          <w:tcPr>
            <w:tcBorders>
              <w:top w:val="none" w:color="000000" w:sz="4" w:space="0"/>
              <w:left w:val="none" w:color="000000" w:sz="4" w:space="0"/>
              <w:bottom w:val="none" w:color="000000" w:sz="4" w:space="0"/>
              <w:right w:val="none" w:color="000000" w:sz="4" w:space="0"/>
            </w:tcBorders>
            <w:tcW w:w="4189" w:type="dxa"/>
            <w:vAlign w:val="center"/>
            <w:textDirection w:val="lrTb"/>
            <w:noWrap w:val="false"/>
          </w:tcPr>
          <w:p>
            <w:pPr>
              <w:pStyle w:val="78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474"/>
        </w:trPr>
        <w:tc>
          <w:tcPr>
            <w:tcBorders>
              <w:top w:val="none" w:color="000000" w:sz="4" w:space="0"/>
              <w:left w:val="none" w:color="000000" w:sz="4" w:space="0"/>
              <w:bottom w:val="none" w:color="000000" w:sz="4" w:space="0"/>
              <w:right w:val="none" w:color="000000" w:sz="4" w:space="0"/>
            </w:tcBorders>
            <w:tcW w:w="4189" w:type="dxa"/>
            <w:vAlign w:val="center"/>
            <w:textDirection w:val="lrTb"/>
            <w:noWrap w:val="false"/>
          </w:tcPr>
          <w:p>
            <w:pPr>
              <w:jc w:val="left"/>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  月   日</w:t>
            </w:r>
            <w:r/>
          </w:p>
        </w:tc>
        <w:tc>
          <w:tcPr>
            <w:tcBorders>
              <w:top w:val="none" w:color="000000" w:sz="4" w:space="0"/>
              <w:left w:val="none" w:color="000000" w:sz="4" w:space="0"/>
              <w:bottom w:val="none" w:color="000000" w:sz="4" w:space="0"/>
              <w:right w:val="none" w:color="000000" w:sz="4" w:space="0"/>
            </w:tcBorders>
            <w:tcW w:w="4189" w:type="dxa"/>
            <w:vAlign w:val="center"/>
            <w:textDirection w:val="lrTb"/>
            <w:noWrap w:val="false"/>
          </w:tcPr>
          <w:p>
            <w:pPr>
              <w:pStyle w:val="78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bl>
    <w:p>
      <w:pPr>
        <w:ind w:right="0" w:firstLine="420"/>
        <w:jc w:val="both"/>
        <w:keepLines w:val="0"/>
        <w:keepNext w:val="0"/>
        <w:pageBreakBefore w:val="0"/>
        <w:spacing w:line="52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 </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0"/>
        <w:jc w:val="center"/>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70"/>
        <w:jc w:val="center"/>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3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3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3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3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3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70"/>
        <w:jc w:val="center"/>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投标文件格式</w:t>
      </w:r>
      <w:r/>
    </w:p>
    <w:p>
      <w:pPr>
        <w:pStyle w:val="983"/>
        <w:ind w:firstLine="24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说明：对本章所有的投标书格式，除开标一览表外，投标</w:t>
      </w:r>
      <w:r>
        <w:rPr>
          <w:rFonts w:hint="eastAsia" w:ascii="宋体" w:hAnsi="宋体" w:eastAsia="宋体" w:cs="宋体"/>
          <w:color w:val="auto"/>
          <w:highlight w:val="none"/>
          <w:lang w:val="en-US" w:eastAsia="zh-CN"/>
        </w:rPr>
        <w:t xml:space="preserve">人</w:t>
      </w:r>
      <w:r>
        <w:rPr>
          <w:rFonts w:hint="eastAsia" w:ascii="宋体" w:hAnsi="宋体" w:eastAsia="宋体" w:cs="宋体"/>
          <w:color w:val="auto"/>
          <w:highlight w:val="none"/>
        </w:rPr>
        <w:t xml:space="preserve">可根据自身情况进行补充和修改，但补充和修改不得造成与本格式内容有实质性的违背。</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24"/>
          <w:highlight w:val="none"/>
        </w:rPr>
        <w:t xml:space="preserve">  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投标人应按</w:t>
      </w:r>
      <w:r>
        <w:rPr>
          <w:rFonts w:hint="eastAsia" w:ascii="宋体" w:hAnsi="宋体" w:eastAsia="宋体" w:cs="宋体"/>
          <w:color w:val="auto"/>
          <w:sz w:val="24"/>
          <w:highlight w:val="none"/>
          <w:lang w:val="en-US" w:eastAsia="zh-CN"/>
        </w:rPr>
        <w:t xml:space="preserve">采购包</w:t>
      </w:r>
      <w:r>
        <w:rPr>
          <w:rFonts w:hint="eastAsia" w:ascii="宋体" w:hAnsi="宋体" w:eastAsia="宋体" w:cs="宋体"/>
          <w:color w:val="auto"/>
          <w:sz w:val="24"/>
          <w:highlight w:val="none"/>
        </w:rPr>
        <w:t xml:space="preserve">准备投标文件并清楚注明</w:t>
      </w:r>
      <w:r>
        <w:rPr>
          <w:rFonts w:hint="eastAsia" w:ascii="宋体" w:hAnsi="宋体" w:eastAsia="宋体" w:cs="宋体"/>
          <w:color w:val="auto"/>
          <w:sz w:val="24"/>
          <w:highlight w:val="none"/>
          <w:lang w:val="en-US" w:eastAsia="zh-CN"/>
        </w:rPr>
        <w:t xml:space="preserve">采购包</w:t>
      </w: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否则造成的一切后果由投标人自行承担。</w:t>
      </w:r>
      <w:r>
        <w:rPr>
          <w:rFonts w:hint="eastAsia" w:ascii="宋体" w:hAnsi="宋体" w:eastAsia="宋体" w:cs="宋体"/>
          <w:color w:val="auto"/>
          <w:sz w:val="32"/>
          <w:szCs w:val="32"/>
          <w:highlight w:val="none"/>
        </w:rPr>
        <w:br w:type="page" w:clear="all"/>
      </w:r>
      <w:bookmarkStart w:id="48" w:name="_Toc263753600"/>
      <w:r/>
      <w:bookmarkStart w:id="49" w:name="_Toc256175382"/>
      <w:r/>
      <w:bookmarkStart w:id="50" w:name="_Toc237145385"/>
      <w:r/>
      <w:bookmarkStart w:id="51" w:name="_Toc297204985"/>
      <w:r/>
      <w:bookmarkStart w:id="52" w:name="_Toc217446085"/>
      <w:r/>
      <w:bookmarkStart w:id="53" w:name="_Toc263768864"/>
      <w:r/>
      <w:bookmarkStart w:id="54" w:name="_Toc250041691"/>
      <w:r/>
      <w:r/>
    </w:p>
    <w:p>
      <w:pPr>
        <w:jc w:val="center"/>
        <w:rPr>
          <w:rFonts w:hint="eastAsia" w:ascii="宋体" w:hAnsi="宋体" w:eastAsia="宋体" w:cs="宋体"/>
          <w:bCs/>
          <w:color w:val="auto"/>
          <w:sz w:val="52"/>
          <w:szCs w:val="52"/>
          <w:highlight w:val="none"/>
        </w:rPr>
      </w:pPr>
      <w:r/>
      <w:bookmarkStart w:id="55" w:name="_Toc13296_WPSOffice_Level1"/>
      <w:r/>
      <w:bookmarkStart w:id="56" w:name="_Toc217446086"/>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bookmarkEnd w:id="55"/>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57" w:name="_Toc677_WPSOffice_Level1"/>
      <w:r>
        <w:rPr>
          <w:rFonts w:hint="eastAsia" w:ascii="宋体" w:hAnsi="宋体" w:eastAsia="宋体" w:cs="宋体"/>
          <w:bCs/>
          <w:color w:val="auto"/>
          <w:sz w:val="52"/>
          <w:szCs w:val="52"/>
          <w:highlight w:val="none"/>
        </w:rPr>
        <w:t xml:space="preserve">标</w:t>
      </w:r>
      <w:bookmarkEnd w:id="57"/>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58" w:name="_Toc2949_WPSOffice_Level1"/>
      <w:r>
        <w:rPr>
          <w:rFonts w:hint="eastAsia" w:ascii="宋体" w:hAnsi="宋体" w:eastAsia="宋体" w:cs="宋体"/>
          <w:bCs/>
          <w:color w:val="auto"/>
          <w:sz w:val="52"/>
          <w:szCs w:val="52"/>
          <w:highlight w:val="none"/>
        </w:rPr>
        <w:t xml:space="preserve">文</w:t>
      </w:r>
      <w:bookmarkEnd w:id="58"/>
      <w:r/>
      <w:r/>
    </w:p>
    <w:p>
      <w:pPr>
        <w:rPr>
          <w:rFonts w:hint="eastAsia" w:ascii="宋体" w:hAnsi="宋体" w:eastAsia="宋体" w:cs="宋体"/>
          <w:bCs/>
          <w:color w:val="auto"/>
          <w:sz w:val="72"/>
          <w:szCs w:val="72"/>
          <w:highlight w:val="none"/>
        </w:rPr>
      </w:pPr>
      <w:r>
        <w:rPr>
          <w:rFonts w:hint="eastAsia" w:ascii="宋体" w:hAnsi="宋体" w:eastAsia="宋体" w:cs="宋体"/>
          <w:bCs/>
          <w:color w:val="auto"/>
          <w:sz w:val="72"/>
          <w:szCs w:val="72"/>
          <w:highlight w:val="none"/>
        </w:rPr>
      </w:r>
      <w:r/>
    </w:p>
    <w:p>
      <w:pPr>
        <w:jc w:val="center"/>
        <w:rPr>
          <w:rFonts w:hint="eastAsia" w:ascii="宋体" w:hAnsi="宋体" w:eastAsia="宋体" w:cs="宋体"/>
          <w:bCs/>
          <w:color w:val="auto"/>
          <w:sz w:val="52"/>
          <w:szCs w:val="52"/>
          <w:highlight w:val="none"/>
        </w:rPr>
      </w:pPr>
      <w:r/>
      <w:bookmarkStart w:id="59" w:name="_Toc31964_WPSOffice_Level1"/>
      <w:r>
        <w:rPr>
          <w:rFonts w:hint="eastAsia" w:ascii="宋体" w:hAnsi="宋体" w:eastAsia="宋体" w:cs="宋体"/>
          <w:bCs/>
          <w:color w:val="auto"/>
          <w:sz w:val="52"/>
          <w:szCs w:val="52"/>
          <w:highlight w:val="none"/>
        </w:rPr>
        <w:t xml:space="preserve">件</w:t>
      </w:r>
      <w:bookmarkEnd w:id="59"/>
      <w:r/>
      <w:r/>
    </w:p>
    <w:p>
      <w:pP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spacing w:line="360" w:lineRule="auto"/>
        <w:rPr>
          <w:rFonts w:hint="eastAsia" w:ascii="宋体" w:hAnsi="宋体" w:eastAsia="宋体" w:cs="宋体"/>
          <w:bCs/>
          <w:color w:val="auto"/>
          <w:sz w:val="28"/>
          <w:szCs w:val="28"/>
          <w:highlight w:val="none"/>
        </w:rPr>
      </w:pPr>
      <w:r/>
      <w:bookmarkStart w:id="60" w:name="_Toc1060_WPSOffice_Level1"/>
      <w:r>
        <w:rPr>
          <w:rFonts w:hint="eastAsia" w:ascii="宋体" w:hAnsi="宋体" w:eastAsia="宋体" w:cs="宋体"/>
          <w:bCs/>
          <w:color w:val="auto"/>
          <w:sz w:val="28"/>
          <w:szCs w:val="28"/>
          <w:highlight w:val="none"/>
        </w:rPr>
        <w:t xml:space="preserve">采购项目编号：</w:t>
      </w:r>
      <w:bookmarkEnd w:id="60"/>
      <w:r/>
      <w:r/>
    </w:p>
    <w:p>
      <w:pPr>
        <w:spacing w:line="360" w:lineRule="auto"/>
        <w:rPr>
          <w:rFonts w:hint="eastAsia" w:ascii="宋体" w:hAnsi="宋体" w:eastAsia="宋体" w:cs="宋体"/>
          <w:bCs/>
          <w:color w:val="auto"/>
          <w:sz w:val="28"/>
          <w:szCs w:val="28"/>
          <w:highlight w:val="none"/>
        </w:rPr>
      </w:pPr>
      <w:r/>
      <w:bookmarkStart w:id="61" w:name="_Toc7891_WPSOffice_Level1"/>
      <w:r>
        <w:rPr>
          <w:rFonts w:hint="eastAsia" w:ascii="宋体" w:hAnsi="宋体" w:eastAsia="宋体" w:cs="宋体"/>
          <w:bCs/>
          <w:color w:val="auto"/>
          <w:sz w:val="28"/>
          <w:szCs w:val="28"/>
          <w:highlight w:val="none"/>
        </w:rPr>
        <w:t xml:space="preserve">采购项目名称：</w:t>
      </w:r>
      <w:bookmarkEnd w:id="61"/>
      <w:r/>
      <w:bookmarkStart w:id="62" w:name="_Toc13794_WPSOffice_Level1"/>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28"/>
          <w:szCs w:val="28"/>
          <w:highlight w:val="none"/>
        </w:rPr>
        <w:t xml:space="preserve">采购包号：</w:t>
      </w:r>
      <w:r>
        <w:rPr>
          <w:rFonts w:hint="eastAsia" w:ascii="宋体" w:hAnsi="宋体" w:eastAsia="宋体" w:cs="宋体"/>
          <w:bCs/>
          <w:color w:val="auto"/>
          <w:sz w:val="30"/>
          <w:szCs w:val="30"/>
          <w:highlight w:val="none"/>
        </w:rPr>
        <w:t xml:space="preserve"> </w:t>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w:t>
      </w:r>
      <w:bookmarkEnd w:id="62"/>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36"/>
          <w:szCs w:val="36"/>
          <w:highlight w:val="none"/>
        </w:rPr>
      </w:pPr>
      <w:r/>
      <w:bookmarkStart w:id="63" w:name="_Toc4431_WPSOffice_Level1"/>
      <w:r>
        <w:rPr>
          <w:rFonts w:hint="eastAsia" w:ascii="宋体" w:hAnsi="宋体" w:eastAsia="宋体" w:cs="宋体"/>
          <w:bCs/>
          <w:color w:val="auto"/>
          <w:sz w:val="36"/>
          <w:szCs w:val="36"/>
          <w:highlight w:val="none"/>
        </w:rPr>
        <w:t xml:space="preserve">   年  月  日</w:t>
      </w:r>
      <w:bookmarkEnd w:id="63"/>
      <w:r/>
      <w:r/>
    </w:p>
    <w:p>
      <w:pPr>
        <w:jc w:val="left"/>
        <w:rPr>
          <w:rStyle w:val="1026"/>
          <w:rFonts w:hint="eastAsia" w:ascii="宋体" w:hAnsi="宋体" w:eastAsia="宋体" w:cs="宋体"/>
          <w:b w:val="0"/>
          <w:color w:val="auto"/>
          <w:highlight w:val="none"/>
        </w:rPr>
      </w:pPr>
      <w:r>
        <w:rPr>
          <w:rFonts w:hint="eastAsia" w:ascii="宋体" w:hAnsi="宋体" w:eastAsia="宋体" w:cs="宋体"/>
          <w:color w:val="auto"/>
          <w:sz w:val="32"/>
          <w:szCs w:val="32"/>
          <w:highlight w:val="none"/>
        </w:rPr>
        <w:br w:type="page" w:clear="all"/>
      </w:r>
      <w:r/>
    </w:p>
    <w:p>
      <w:pPr>
        <w:jc w:val="center"/>
        <w:keepLines/>
        <w:keepNext/>
        <w:spacing w:line="600" w:lineRule="exact"/>
        <w:rPr>
          <w:rFonts w:hint="eastAsia" w:ascii="宋体" w:hAnsi="宋体" w:eastAsia="宋体" w:cs="宋体"/>
          <w:b/>
          <w:bCs/>
          <w:color w:val="auto"/>
          <w:sz w:val="24"/>
          <w:highlight w:val="none"/>
        </w:rPr>
        <w:outlineLvl w:val="1"/>
      </w:pPr>
      <w:r>
        <w:rPr>
          <w:rFonts w:hint="eastAsia" w:ascii="宋体" w:hAnsi="宋体" w:eastAsia="宋体" w:cs="宋体"/>
          <w:b/>
          <w:bCs/>
          <w:color w:val="auto"/>
          <w:sz w:val="32"/>
          <w:szCs w:val="32"/>
          <w:highlight w:val="none"/>
        </w:rPr>
        <w:t xml:space="preserve">开标一览表</w:t>
      </w:r>
      <w:r/>
    </w:p>
    <w:p>
      <w:pPr>
        <w:pStyle w:val="1014"/>
        <w:rPr>
          <w:rFonts w:hint="eastAsia" w:ascii="宋体" w:hAnsi="宋体" w:eastAsia="宋体" w:cs="宋体"/>
          <w:color w:val="000000"/>
          <w:sz w:val="27"/>
          <w:szCs w:val="27"/>
          <w:highlight w:val="none"/>
        </w:rPr>
      </w:pPr>
      <w:r>
        <w:rPr>
          <w:rFonts w:hint="eastAsia" w:ascii="宋体" w:hAnsi="宋体" w:eastAsia="宋体" w:cs="宋体"/>
          <w:color w:val="000000"/>
          <w:sz w:val="27"/>
          <w:szCs w:val="27"/>
          <w:highlight w:val="none"/>
        </w:rPr>
        <w:t xml:space="preserve">项目编号：</w:t>
      </w:r>
      <w:r>
        <w:rPr>
          <w:rFonts w:hint="eastAsia" w:ascii="宋体" w:hAnsi="宋体" w:eastAsia="宋体" w:cs="宋体"/>
          <w:color w:val="000000"/>
          <w:sz w:val="27"/>
          <w:szCs w:val="27"/>
          <w:highlight w:val="none"/>
          <w:shd w:val="clear" w:color="auto" w:fill="ffffff"/>
        </w:rPr>
        <w:t xml:space="preserve">项目编号</w:t>
      </w:r>
      <w:r>
        <w:rPr>
          <w:rFonts w:hint="eastAsia" w:ascii="宋体" w:hAnsi="宋体" w:eastAsia="宋体" w:cs="宋体"/>
          <w:color w:val="000000"/>
          <w:sz w:val="27"/>
          <w:szCs w:val="27"/>
          <w:highlight w:val="none"/>
        </w:rPr>
        <w:t xml:space="preserve"> </w:t>
      </w:r>
      <w:r/>
    </w:p>
    <w:p>
      <w:pPr>
        <w:pStyle w:val="1014"/>
        <w:rPr>
          <w:rFonts w:hint="eastAsia" w:ascii="宋体" w:hAnsi="宋体" w:eastAsia="宋体" w:cs="宋体"/>
          <w:color w:val="000000"/>
          <w:sz w:val="27"/>
          <w:szCs w:val="27"/>
          <w:highlight w:val="none"/>
        </w:rPr>
      </w:pPr>
      <w:r>
        <w:rPr>
          <w:rFonts w:hint="eastAsia" w:ascii="宋体" w:hAnsi="宋体" w:eastAsia="宋体" w:cs="宋体"/>
          <w:color w:val="000000"/>
          <w:sz w:val="27"/>
          <w:szCs w:val="27"/>
          <w:highlight w:val="none"/>
        </w:rPr>
        <w:t xml:space="preserve">货币单位：人民币元</w:t>
      </w:r>
      <w:r/>
    </w:p>
    <w:tbl>
      <w:tblPr>
        <w:tblStyle w:val="731"/>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1014"/>
              <w:rPr>
                <w:rFonts w:hint="eastAsia" w:ascii="宋体" w:hAnsi="宋体" w:eastAsia="宋体" w:cs="宋体"/>
                <w:highlight w:val="none"/>
              </w:rPr>
            </w:pPr>
            <w:r>
              <w:rPr>
                <w:rFonts w:hint="eastAsia" w:ascii="宋体" w:hAnsi="宋体" w:eastAsia="宋体" w:cs="宋体"/>
                <w:color w:val="000000"/>
                <w:sz w:val="27"/>
                <w:szCs w:val="27"/>
                <w:highlight w:val="none"/>
              </w:rPr>
              <w:t xml:space="preserve">项目名称</w:t>
            </w:r>
            <w:r/>
          </w:p>
        </w:tc>
        <w:tc>
          <w:tcPr>
            <w:tcW w:w="2700" w:type="dxa"/>
            <w:vAlign w:val="center"/>
            <w:textDirection w:val="lrTb"/>
            <w:noWrap w:val="false"/>
          </w:tcPr>
          <w:p>
            <w:pPr>
              <w:pStyle w:val="1014"/>
              <w:rPr>
                <w:rFonts w:hint="eastAsia" w:ascii="宋体" w:hAnsi="宋体" w:eastAsia="宋体" w:cs="宋体"/>
                <w:highlight w:val="none"/>
              </w:rPr>
            </w:pPr>
            <w:r>
              <w:rPr>
                <w:rFonts w:hint="eastAsia" w:ascii="宋体" w:hAnsi="宋体" w:eastAsia="宋体" w:cs="宋体"/>
                <w:color w:val="000000"/>
                <w:sz w:val="27"/>
                <w:szCs w:val="27"/>
                <w:highlight w:val="none"/>
              </w:rPr>
              <w:t xml:space="preserve">项目内容</w:t>
            </w:r>
            <w:r/>
          </w:p>
        </w:tc>
        <w:tc>
          <w:tcPr>
            <w:tcW w:w="3927" w:type="dxa"/>
            <w:vAlign w:val="center"/>
            <w:textDirection w:val="lrTb"/>
            <w:noWrap w:val="false"/>
          </w:tcPr>
          <w:p>
            <w:pPr>
              <w:pStyle w:val="1014"/>
              <w:rPr>
                <w:rFonts w:hint="eastAsia" w:ascii="宋体" w:hAnsi="宋体" w:eastAsia="宋体" w:cs="宋体"/>
                <w:highlight w:val="none"/>
              </w:rPr>
            </w:pPr>
            <w:r>
              <w:rPr>
                <w:rFonts w:hint="eastAsia" w:ascii="宋体" w:hAnsi="宋体" w:eastAsia="宋体" w:cs="宋体"/>
                <w:color w:val="000000"/>
                <w:sz w:val="27"/>
                <w:szCs w:val="27"/>
                <w:highlight w:val="none"/>
              </w:rPr>
              <w:t xml:space="preserve"> 总价（小写）</w:t>
            </w:r>
            <w:r/>
          </w:p>
        </w:tc>
      </w:tr>
      <w:tr>
        <w:trPr/>
        <w:tc>
          <w:tcPr>
            <w:tcW w:w="2270" w:type="dxa"/>
            <w:vAlign w:val="center"/>
            <w:textDirection w:val="lrTb"/>
            <w:noWrap w:val="false"/>
          </w:tcPr>
          <w:p>
            <w:pPr>
              <w:pStyle w:val="1014"/>
              <w:rPr>
                <w:rFonts w:hint="eastAsia" w:ascii="宋体" w:hAnsi="宋体" w:eastAsia="宋体" w:cs="宋体"/>
                <w:highlight w:val="none"/>
              </w:rPr>
            </w:pPr>
            <w:r>
              <w:rPr>
                <w:rFonts w:hint="eastAsia" w:ascii="宋体" w:hAnsi="宋体" w:eastAsia="宋体" w:cs="宋体"/>
                <w:color w:val="000000"/>
                <w:sz w:val="27"/>
                <w:szCs w:val="27"/>
                <w:highlight w:val="none"/>
                <w:shd w:val="clear" w:color="auto" w:fill="ffffff"/>
              </w:rPr>
              <w:t xml:space="preserve">项目名称</w:t>
            </w:r>
            <w:r>
              <w:rPr>
                <w:rFonts w:hint="eastAsia" w:ascii="宋体" w:hAnsi="宋体" w:eastAsia="宋体" w:cs="宋体"/>
                <w:color w:val="000000"/>
                <w:sz w:val="27"/>
                <w:szCs w:val="27"/>
                <w:highlight w:val="none"/>
              </w:rPr>
              <w:t xml:space="preserve"> </w:t>
            </w:r>
            <w:r/>
          </w:p>
        </w:tc>
        <w:tc>
          <w:tcPr>
            <w:tcW w:w="2700" w:type="dxa"/>
            <w:vAlign w:val="center"/>
            <w:textDirection w:val="lrTb"/>
            <w:noWrap w:val="false"/>
          </w:tcPr>
          <w:p>
            <w:pPr>
              <w:pStyle w:val="1014"/>
              <w:rPr>
                <w:rFonts w:hint="eastAsia" w:ascii="宋体" w:hAnsi="宋体" w:eastAsia="宋体" w:cs="宋体"/>
                <w:highlight w:val="none"/>
              </w:rPr>
            </w:pPr>
            <w:r>
              <w:rPr>
                <w:rFonts w:hint="eastAsia" w:ascii="宋体" w:hAnsi="宋体" w:eastAsia="宋体" w:cs="宋体"/>
                <w:color w:val="000000"/>
                <w:sz w:val="27"/>
                <w:szCs w:val="27"/>
                <w:highlight w:val="none"/>
              </w:rPr>
              <w:t xml:space="preserve">详见投标文件</w:t>
            </w:r>
            <w:r/>
          </w:p>
        </w:tc>
        <w:tc>
          <w:tcPr>
            <w:tcW w:w="3927" w:type="dxa"/>
            <w:vAlign w:val="center"/>
            <w:textDirection w:val="lrTb"/>
            <w:noWrap w:val="false"/>
          </w:tcPr>
          <w:p>
            <w:pPr>
              <w:pStyle w:val="1014"/>
              <w:rPr>
                <w:rFonts w:hint="eastAsia" w:ascii="宋体" w:hAnsi="宋体" w:eastAsia="宋体" w:cs="宋体"/>
                <w:highlight w:val="none"/>
              </w:rPr>
            </w:pPr>
            <w:r/>
            <w:bookmarkStart w:id="64" w:name="_1742295356"/>
            <w:r/>
            <w:bookmarkEnd w:id="64"/>
            <w:r>
              <w:rPr>
                <w:rFonts w:hint="eastAsia" w:ascii="宋体" w:hAnsi="宋体" w:eastAsia="宋体" w:cs="宋体"/>
                <w:color w:val="000000"/>
                <w:sz w:val="27"/>
                <w:szCs w:val="27"/>
                <w:highlight w:val="none"/>
                <w:shd w:val="clear" w:color="auto" w:fill="ffffff"/>
              </w:rPr>
              <w:fldChar w:fldCharType="begin"/>
            </w:r>
            <w:r>
              <w:instrText xml:space="preserve"> CONTROL Forms.HTML:Text.1 \s  \* MERGEFORMAT</w:instrText>
            </w:r>
            <w:r>
              <w:rPr>
                <w:rFonts w:hint="eastAsia" w:ascii="宋体" w:hAnsi="宋体" w:eastAsia="宋体" w:cs="宋体"/>
                <w:color w:val="000000"/>
                <w:sz w:val="27"/>
                <w:szCs w:val="27"/>
                <w:highlight w:val="none"/>
                <w:shd w:val="clear" w:color="auto" w:fill="ffffff"/>
              </w:rPr>
              <w:fldChar w:fldCharType="separate"/>
            </w:r>
            <w:r>
              <w:rPr>
                <w:rFonts w:hint="eastAsia" w:ascii="宋体" w:hAnsi="宋体" w:eastAsia="宋体" w:cs="宋体"/>
                <w:color w:val="000000"/>
                <w:sz w:val="27"/>
                <w:szCs w:val="27"/>
                <w:highlight w:val="none"/>
                <w:shd w:val="clear" w:color="auto" w:fill="ffffff"/>
              </w:rPr>
              <mc:AlternateContent>
                <mc:Choice Requires="wpg">
                  <w:drawing>
                    <wp:inline xmlns:wp="http://schemas.openxmlformats.org/drawingml/2006/wordprocessingDrawing" distT="0" distB="0" distL="0" distR="0">
                      <wp:extent cx="609600" cy="228600"/>
                      <wp:effectExtent l="0" t="0" r="3810" b="11430"/>
                      <wp:docPr id="4"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0pt;height:18.0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color w:val="000000"/>
                <w:sz w:val="27"/>
                <w:szCs w:val="27"/>
                <w:highlight w:val="none"/>
                <w:shd w:val="clear" w:color="auto" w:fill="ffffff"/>
              </w:rPr>
              <w:fldChar w:fldCharType="end"/>
            </w:r>
            <w:r>
              <w:rPr>
                <w:rFonts w:hint="eastAsia" w:ascii="宋体" w:hAnsi="宋体" w:eastAsia="宋体" w:cs="宋体"/>
                <w:color w:val="000000"/>
                <w:sz w:val="27"/>
                <w:szCs w:val="27"/>
                <w:highlight w:val="none"/>
              </w:rPr>
              <w:t xml:space="preserve"> 元</w:t>
            </w:r>
            <w:r/>
          </w:p>
        </w:tc>
      </w:tr>
      <w:tr>
        <w:trPr/>
        <w:tc>
          <w:tcPr>
            <w:tcW w:w="2270" w:type="dxa"/>
            <w:vAlign w:val="center"/>
            <w:textDirection w:val="lrTb"/>
            <w:noWrap w:val="false"/>
          </w:tcPr>
          <w:p>
            <w:pPr>
              <w:pStyle w:val="1014"/>
              <w:rPr>
                <w:rFonts w:hint="eastAsia" w:ascii="宋体" w:hAnsi="宋体" w:eastAsia="宋体" w:cs="宋体"/>
                <w:highlight w:val="none"/>
              </w:rPr>
            </w:pPr>
            <w:r>
              <w:rPr>
                <w:rFonts w:hint="eastAsia" w:ascii="宋体" w:hAnsi="宋体" w:eastAsia="宋体" w:cs="宋体"/>
                <w:color w:val="000000"/>
                <w:sz w:val="27"/>
                <w:szCs w:val="27"/>
                <w:highlight w:val="none"/>
              </w:rPr>
              <w:t xml:space="preserve">总价（大写）：</w:t>
            </w:r>
            <w:r/>
          </w:p>
        </w:tc>
        <w:tc>
          <w:tcPr>
            <w:gridSpan w:val="2"/>
            <w:tcW w:w="6627" w:type="dxa"/>
            <w:vAlign w:val="center"/>
            <w:textDirection w:val="lrTb"/>
            <w:noWrap w:val="false"/>
          </w:tcPr>
          <w:p>
            <w:pPr>
              <w:pStyle w:val="1014"/>
              <w:rPr>
                <w:rFonts w:hint="eastAsia" w:ascii="宋体" w:hAnsi="宋体" w:eastAsia="宋体" w:cs="宋体"/>
                <w:highlight w:val="none"/>
              </w:rPr>
            </w:pPr>
            <w:r>
              <w:rPr>
                <w:rFonts w:hint="eastAsia" w:ascii="宋体" w:hAnsi="宋体" w:eastAsia="宋体" w:cs="宋体"/>
                <w:color w:val="000000"/>
                <w:sz w:val="27"/>
                <w:szCs w:val="27"/>
                <w:highlight w:val="none"/>
              </w:rPr>
              <w:t xml:space="preserve">金额大写 </w:t>
            </w:r>
            <w:r/>
          </w:p>
        </w:tc>
      </w:tr>
    </w:tbl>
    <w:p>
      <w:pPr>
        <w:pStyle w:val="1014"/>
        <w:rPr>
          <w:rFonts w:hint="eastAsia" w:ascii="宋体" w:hAnsi="宋体" w:eastAsia="宋体" w:cs="宋体"/>
          <w:color w:val="000000"/>
          <w:sz w:val="27"/>
          <w:szCs w:val="27"/>
          <w:highlight w:val="none"/>
        </w:rPr>
      </w:pPr>
      <w:r>
        <w:rPr>
          <w:rFonts w:hint="eastAsia" w:ascii="宋体" w:hAnsi="宋体" w:eastAsia="宋体" w:cs="宋体"/>
          <w:color w:val="000000"/>
          <w:sz w:val="27"/>
          <w:szCs w:val="27"/>
          <w:highlight w:val="none"/>
        </w:rPr>
      </w:r>
      <w:r/>
    </w:p>
    <w:p>
      <w:pPr>
        <w:pStyle w:val="1014"/>
        <w:rPr>
          <w:rFonts w:hint="eastAsia" w:ascii="宋体" w:hAnsi="宋体" w:eastAsia="宋体" w:cs="宋体"/>
          <w:color w:val="000000"/>
          <w:sz w:val="27"/>
          <w:szCs w:val="27"/>
          <w:highlight w:val="none"/>
        </w:rPr>
      </w:pPr>
      <w:r>
        <w:rPr>
          <w:rFonts w:hint="eastAsia" w:ascii="宋体" w:hAnsi="宋体" w:eastAsia="宋体" w:cs="宋体"/>
          <w:color w:val="000000"/>
          <w:sz w:val="27"/>
          <w:szCs w:val="27"/>
          <w:highlight w:val="none"/>
        </w:rPr>
      </w:r>
      <w:r/>
    </w:p>
    <w:p>
      <w:pPr>
        <w:pStyle w:val="1014"/>
        <w:rPr>
          <w:rFonts w:hint="eastAsia" w:ascii="宋体" w:hAnsi="宋体" w:eastAsia="宋体" w:cs="宋体"/>
          <w:color w:val="000000"/>
          <w:sz w:val="27"/>
          <w:szCs w:val="27"/>
          <w:highlight w:val="none"/>
        </w:rPr>
      </w:pPr>
      <w:r>
        <w:rPr>
          <w:rFonts w:hint="eastAsia" w:ascii="宋体" w:hAnsi="宋体" w:eastAsia="宋体" w:cs="宋体"/>
          <w:color w:val="000000"/>
          <w:sz w:val="27"/>
          <w:szCs w:val="27"/>
          <w:highlight w:val="none"/>
        </w:rPr>
      </w:r>
      <w:r/>
    </w:p>
    <w:p>
      <w:pPr>
        <w:pStyle w:val="1014"/>
        <w:rPr>
          <w:rFonts w:hint="eastAsia" w:ascii="宋体" w:hAnsi="宋体" w:eastAsia="宋体" w:cs="宋体"/>
          <w:color w:val="000000"/>
          <w:sz w:val="27"/>
          <w:szCs w:val="27"/>
          <w:highlight w:val="none"/>
        </w:rPr>
      </w:pPr>
      <w:r>
        <w:rPr>
          <w:rFonts w:hint="eastAsia" w:ascii="宋体" w:hAnsi="宋体" w:eastAsia="宋体" w:cs="宋体"/>
          <w:color w:val="000000"/>
          <w:sz w:val="27"/>
          <w:szCs w:val="27"/>
          <w:highlight w:val="none"/>
        </w:rPr>
        <w:t xml:space="preserve">投标人公章： （电子签章）</w:t>
      </w:r>
      <w:r/>
    </w:p>
    <w:p>
      <w:pP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3"/>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bookmarkStart w:id="65" w:name="NF"/>
      <w:r/>
      <w:bookmarkEnd w:id="65"/>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bookmarkStart w:id="66" w:name="YF"/>
      <w:r/>
      <w:bookmarkEnd w:id="66"/>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bookmarkStart w:id="67" w:name="RI"/>
      <w:r/>
      <w:bookmarkEnd w:id="67"/>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left="720" w:hanging="72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74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3"/>
        <w:ind w:left="0"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741"/>
        <w:rPr>
          <w:rFonts w:hint="eastAsia" w:ascii="宋体" w:hAnsi="宋体" w:eastAsia="宋体" w:cs="宋体"/>
          <w:color w:val="auto"/>
          <w:highlight w:val="none"/>
        </w:rPr>
      </w:pPr>
      <w:r>
        <w:rPr>
          <w:rFonts w:hint="eastAsia" w:ascii="宋体" w:hAnsi="宋体" w:eastAsia="宋体" w:cs="宋体"/>
          <w:color w:val="auto"/>
          <w:highlight w:val="none"/>
        </w:rPr>
      </w:r>
      <w:bookmarkEnd w:id="56"/>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 标 函</w:t>
      </w:r>
      <w:r/>
    </w:p>
    <w:p>
      <w:pPr>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9"/>
        <w:ind w:left="0"/>
        <w:keepLines w:val="0"/>
        <w:keepNext w:val="0"/>
        <w:pageBreakBefore w:val="0"/>
        <w:spacing w:after="0" w:line="360" w:lineRule="auto"/>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u w:val="single"/>
        </w:rPr>
        <w:t xml:space="preserve">泰州市海陵区住房和城乡建设局</w:t>
      </w:r>
      <w:r>
        <w:rPr>
          <w:rFonts w:hint="eastAsia" w:ascii="宋体" w:hAnsi="宋体" w:eastAsia="宋体" w:cs="宋体"/>
          <w:bCs/>
          <w:iCs/>
          <w:color w:val="auto"/>
          <w:sz w:val="24"/>
          <w:szCs w:val="24"/>
          <w:highlight w:val="none"/>
        </w:rPr>
        <w:t xml:space="preserve">：</w:t>
      </w:r>
      <w:r/>
    </w:p>
    <w:p>
      <w:pPr>
        <w:pStyle w:val="999"/>
        <w:ind w:left="0" w:firstLine="60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iCs/>
          <w:color w:val="auto"/>
          <w:sz w:val="24"/>
          <w:szCs w:val="24"/>
          <w:highlight w:val="none"/>
        </w:rPr>
        <w:t xml:space="preserve">我方全面研究了 </w:t>
      </w:r>
      <w:r>
        <w:rPr>
          <w:rFonts w:hint="eastAsia" w:ascii="宋体" w:hAnsi="宋体" w:eastAsia="宋体" w:cs="宋体"/>
          <w:b/>
          <w:bCs/>
          <w:i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项目招标文件，决定参加贵单位组织的本项目投标。</w:t>
      </w:r>
      <w:r/>
    </w:p>
    <w:p>
      <w:pPr>
        <w:pStyle w:val="999"/>
        <w:ind w:left="0" w:firstLine="60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我方自愿按照招标文件规定的各项要求向采购人提供所需货物及服务。</w:t>
      </w:r>
      <w:r/>
    </w:p>
    <w:p>
      <w:pPr>
        <w:pStyle w:val="999"/>
        <w:ind w:left="0" w:firstLine="60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一旦我方中标，</w:t>
      </w:r>
      <w:r>
        <w:rPr>
          <w:rFonts w:hint="eastAsia" w:ascii="宋体" w:hAnsi="宋体" w:eastAsia="宋体" w:cs="宋体"/>
          <w:color w:val="auto"/>
          <w:sz w:val="24"/>
          <w:szCs w:val="24"/>
          <w:highlight w:val="none"/>
        </w:rPr>
        <w:t xml:space="preserve">我们将严格履行招标文件中规定的每一项要求，按期、按质、按量履行合同的义务。</w:t>
      </w:r>
      <w:r/>
    </w:p>
    <w:p>
      <w:pPr>
        <w:pStyle w:val="1101"/>
        <w:ind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我们已详细审查全部招标文件，包括更正文件（如有），对招标文件及更正公告（如有）无任何异议。我们完全理解并同意放弃对这方面有不明及误解的</w:t>
      </w:r>
      <w:r>
        <w:rPr>
          <w:rFonts w:hint="eastAsia" w:ascii="宋体" w:hAnsi="宋体" w:eastAsia="宋体" w:cs="宋体"/>
          <w:color w:val="auto"/>
          <w:sz w:val="24"/>
          <w:szCs w:val="24"/>
          <w:highlight w:val="none"/>
          <w:lang w:val="en-US" w:eastAsia="zh-CN"/>
        </w:rPr>
        <w:t xml:space="preserve">权利</w:t>
      </w:r>
      <w:r>
        <w:rPr>
          <w:rFonts w:hint="eastAsia" w:ascii="宋体" w:hAnsi="宋体" w:eastAsia="宋体" w:cs="宋体"/>
          <w:color w:val="auto"/>
          <w:sz w:val="24"/>
          <w:szCs w:val="24"/>
          <w:highlight w:val="none"/>
        </w:rPr>
        <w:t xml:space="preserve">。</w:t>
      </w:r>
      <w:r/>
    </w:p>
    <w:p>
      <w:pPr>
        <w:pStyle w:val="1101"/>
        <w:ind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我们同意按照招标文件中的规定，本投标书的有效期限为自投标截止之日起60天。</w:t>
      </w:r>
      <w:r/>
    </w:p>
    <w:p>
      <w:pPr>
        <w:pStyle w:val="1101"/>
        <w:ind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我们愿意提供招标采购单位在招标文件中要求的所有资料。</w:t>
      </w:r>
      <w:r/>
    </w:p>
    <w:p>
      <w:pPr>
        <w:pStyle w:val="1101"/>
        <w:ind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我们愿意遵守招标文件中所列的收费标准。</w:t>
      </w:r>
      <w:r/>
    </w:p>
    <w:p>
      <w:pPr>
        <w:pStyle w:val="1101"/>
        <w:ind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我们承诺该项投标在开标后的全过程中保持有效，不作任何更改和变动。</w:t>
      </w:r>
      <w:r/>
    </w:p>
    <w:p>
      <w:pPr>
        <w:pStyle w:val="999"/>
        <w:ind w:left="0" w:firstLine="60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我方愿意提供贵单位可能另外要求的，与投标有关的文件资料，并保证我方已提供和将要提供的文件资料是真实、准确的。</w:t>
      </w:r>
      <w:r/>
    </w:p>
    <w:p>
      <w:pPr>
        <w:pStyle w:val="999"/>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99"/>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 （</w:t>
      </w:r>
      <w:r>
        <w:rPr>
          <w:rFonts w:hint="eastAsia" w:ascii="宋体" w:hAnsi="宋体" w:eastAsia="宋体" w:cs="宋体"/>
          <w:bCs/>
          <w:color w:val="auto"/>
          <w:sz w:val="24"/>
          <w:highlight w:val="none"/>
        </w:rPr>
        <w:t xml:space="preserve">加盖CA电子公章</w:t>
      </w:r>
      <w:r>
        <w:rPr>
          <w:rFonts w:hint="eastAsia" w:ascii="宋体" w:hAnsi="宋体" w:eastAsia="宋体" w:cs="宋体"/>
          <w:bCs/>
          <w:color w:val="auto"/>
          <w:sz w:val="24"/>
          <w:szCs w:val="24"/>
          <w:highlight w:val="none"/>
        </w:rPr>
        <w:t xml:space="preserve">）</w:t>
      </w:r>
      <w:r/>
    </w:p>
    <w:p>
      <w:pPr>
        <w:pStyle w:val="999"/>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法定代表人或授权代表</w:t>
      </w:r>
      <w:r>
        <w:rPr>
          <w:rFonts w:hint="eastAsia" w:ascii="宋体" w:hAnsi="宋体" w:eastAsia="宋体" w:cs="宋体"/>
          <w:bCs/>
          <w:color w:val="auto"/>
          <w:sz w:val="24"/>
          <w:szCs w:val="24"/>
          <w:highlight w:val="none"/>
        </w:rPr>
        <w:t xml:space="preserve">（签字或盖章）：</w:t>
      </w:r>
      <w:r/>
    </w:p>
    <w:p>
      <w:pPr>
        <w:pStyle w:val="999"/>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p>
    <w:p>
      <w:pPr>
        <w:pStyle w:val="999"/>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w:t>
      </w:r>
      <w:r/>
    </w:p>
    <w:p>
      <w:pPr>
        <w:pStyle w:val="999"/>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w:t>
      </w:r>
      <w:r/>
    </w:p>
    <w:p>
      <w:pPr>
        <w:pStyle w:val="999"/>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br w:type="page" w:clear="all"/>
      </w:r>
      <w:r/>
    </w:p>
    <w:p>
      <w:pPr>
        <w:jc w:val="center"/>
        <w:spacing w:line="72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投标报价明细表</w:t>
      </w:r>
      <w:r/>
    </w:p>
    <w:tbl>
      <w:tblPr>
        <w:tblStyle w:val="731"/>
        <w:tblW w:w="5109" w:type="pct"/>
        <w:tblInd w:w="-306" w:type="dxa"/>
        <w:tblLayout w:type="fixed"/>
        <w:tblCellMar>
          <w:left w:w="108" w:type="dxa"/>
          <w:top w:w="0" w:type="dxa"/>
          <w:right w:w="108" w:type="dxa"/>
          <w:bottom w:w="0" w:type="dxa"/>
        </w:tblCellMar>
        <w:tblLook w:val="04A0" w:firstRow="1" w:lastRow="0" w:firstColumn="1" w:lastColumn="0" w:noHBand="0" w:noVBand="1"/>
      </w:tblPr>
      <w:tblGrid>
        <w:gridCol w:w="806"/>
        <w:gridCol w:w="1977"/>
        <w:gridCol w:w="1816"/>
        <w:gridCol w:w="1720"/>
        <w:gridCol w:w="1515"/>
        <w:gridCol w:w="1424"/>
      </w:tblGrid>
      <w:tr>
        <w:trPr>
          <w:trHeight w:val="977"/>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977" w:type="dxa"/>
            <w:vAlign w:val="center"/>
            <w:textDirection w:val="lrTb"/>
            <w:noWrap/>
          </w:tcPr>
          <w:p>
            <w:pPr>
              <w:jc w:val="center"/>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816" w:type="dxa"/>
            <w:vAlign w:val="center"/>
            <w:textDirection w:val="lrTb"/>
            <w:noWrap/>
          </w:tcPr>
          <w:p>
            <w:pPr>
              <w:jc w:val="center"/>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服务期</w:t>
            </w:r>
            <w:r/>
          </w:p>
        </w:tc>
        <w:tc>
          <w:tcPr>
            <w:tcBorders>
              <w:top w:val="single" w:color="000000" w:sz="4" w:space="0"/>
              <w:left w:val="none" w:color="000000" w:sz="4" w:space="0"/>
              <w:bottom w:val="single" w:color="000000" w:sz="4" w:space="0"/>
              <w:right w:val="single" w:color="000000" w:sz="4" w:space="0"/>
            </w:tcBorders>
            <w:tcW w:w="1720" w:type="dxa"/>
            <w:vAlign w:val="center"/>
            <w:textDirection w:val="lrTb"/>
            <w:noWrap w:val="false"/>
          </w:tcPr>
          <w:p>
            <w:pPr>
              <w:jc w:val="center"/>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污泥处置暂定量（吨）</w:t>
            </w:r>
            <w:r/>
          </w:p>
        </w:tc>
        <w:tc>
          <w:tcPr>
            <w:tcBorders>
              <w:top w:val="single" w:color="000000" w:sz="4" w:space="0"/>
              <w:left w:val="none" w:color="000000" w:sz="4" w:space="0"/>
              <w:bottom w:val="single" w:color="000000" w:sz="4" w:space="0"/>
              <w:right w:val="single" w:color="000000" w:sz="4" w:space="0"/>
            </w:tcBorders>
            <w:tcW w:w="1515" w:type="dxa"/>
            <w:vAlign w:val="center"/>
            <w:textDirection w:val="lrTb"/>
            <w:noWrap w:val="false"/>
          </w:tcPr>
          <w:p>
            <w:pPr>
              <w:jc w:val="center"/>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单价</w:t>
            </w:r>
            <w:r/>
          </w:p>
          <w:p>
            <w:pPr>
              <w:jc w:val="center"/>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（元/吨）</w:t>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合计</w:t>
            </w:r>
            <w:r/>
          </w:p>
          <w:p>
            <w:pPr>
              <w:jc w:val="center"/>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（元）</w:t>
            </w:r>
            <w:r/>
          </w:p>
        </w:tc>
      </w:tr>
      <w:tr>
        <w:trPr>
          <w:trHeight w:val="1009"/>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none" w:color="000000" w:sz="4" w:space="0"/>
            </w:tcBorders>
            <w:tcW w:w="1977" w:type="dxa"/>
            <w:vAlign w:val="center"/>
            <w:textDirection w:val="lrTb"/>
            <w:noWrap/>
          </w:tcPr>
          <w:p>
            <w:pPr>
              <w:jc w:val="center"/>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auto"/>
                <w:sz w:val="24"/>
                <w:szCs w:val="24"/>
                <w:highlight w:val="none"/>
              </w:rPr>
              <w:t xml:space="preserve">2026年城北污水处理厂污泥处置项目</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jc w:val="center"/>
              <w:widowControl/>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auto"/>
                <w:sz w:val="24"/>
                <w:szCs w:val="24"/>
                <w:highlight w:val="none"/>
                <w:lang w:val="en-US" w:eastAsia="zh-CN"/>
              </w:rPr>
              <w:t xml:space="preserve">2027年1月1日至2027年12月31日</w:t>
            </w:r>
            <w:r/>
          </w:p>
        </w:tc>
        <w:tc>
          <w:tcPr>
            <w:tcBorders>
              <w:top w:val="single" w:color="000000" w:sz="4" w:space="0"/>
              <w:left w:val="none" w:color="000000" w:sz="4" w:space="0"/>
              <w:bottom w:val="single" w:color="000000" w:sz="4" w:space="0"/>
              <w:right w:val="single" w:color="000000" w:sz="4" w:space="0"/>
            </w:tcBorders>
            <w:tcW w:w="1720" w:type="dxa"/>
            <w:vAlign w:val="center"/>
            <w:textDirection w:val="lrTb"/>
            <w:noWrap w:val="false"/>
          </w:tcPr>
          <w:p>
            <w:pPr>
              <w:jc w:val="center"/>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000</w:t>
            </w:r>
            <w:r/>
          </w:p>
        </w:tc>
        <w:tc>
          <w:tcPr>
            <w:tcBorders>
              <w:top w:val="single" w:color="000000" w:sz="4" w:space="0"/>
              <w:left w:val="none" w:color="000000" w:sz="4" w:space="0"/>
              <w:bottom w:val="single" w:color="000000" w:sz="4" w:space="0"/>
              <w:right w:val="single" w:color="000000" w:sz="4" w:space="0"/>
            </w:tcBorders>
            <w:tcW w:w="1515" w:type="dxa"/>
            <w:vAlign w:val="top"/>
            <w:textDirection w:val="lrTb"/>
            <w:noWrap w:val="false"/>
          </w:tcPr>
          <w:p>
            <w:pPr>
              <w:ind w:left="1" w:hanging="1"/>
              <w:jc w:val="center"/>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865"/>
        </w:trPr>
        <w:tc>
          <w:tcPr>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p>
        </w:tc>
        <w:tc>
          <w:tcPr>
            <w:gridSpan w:val="2"/>
            <w:tcBorders>
              <w:top w:val="single" w:color="000000" w:sz="4" w:space="0"/>
              <w:left w:val="none" w:color="000000" w:sz="4" w:space="0"/>
              <w:bottom w:val="single" w:color="000000" w:sz="4" w:space="0"/>
              <w:right w:val="single" w:color="000000" w:sz="4" w:space="0"/>
            </w:tcBorders>
            <w:tcW w:w="3793" w:type="dxa"/>
            <w:vAlign w:val="center"/>
            <w:textDirection w:val="lrTb"/>
            <w:noWrap/>
          </w:tcPr>
          <w:p>
            <w:pPr>
              <w:jc w:val="center"/>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合计（大写）</w:t>
            </w:r>
            <w:r/>
          </w:p>
        </w:tc>
        <w:tc>
          <w:tcPr>
            <w:gridSpan w:val="3"/>
            <w:tcBorders>
              <w:top w:val="single" w:color="000000" w:sz="4" w:space="0"/>
              <w:left w:val="none" w:color="000000" w:sz="4" w:space="0"/>
              <w:bottom w:val="single" w:color="000000" w:sz="4" w:space="0"/>
              <w:right w:val="single" w:color="000000" w:sz="4" w:space="0"/>
            </w:tcBorders>
            <w:tcW w:w="4659" w:type="dxa"/>
            <w:vAlign w:val="center"/>
            <w:textDirection w:val="lrTb"/>
            <w:noWrap w:val="false"/>
          </w:tcPr>
          <w:p>
            <w:pPr>
              <w:jc w:val="center"/>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tc>
      </w:tr>
    </w:tbl>
    <w:p>
      <w:pPr>
        <w:pStyle w:val="999"/>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99"/>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 （</w:t>
      </w:r>
      <w:r>
        <w:rPr>
          <w:rFonts w:hint="eastAsia" w:ascii="宋体" w:hAnsi="宋体" w:eastAsia="宋体" w:cs="宋体"/>
          <w:bCs/>
          <w:color w:val="auto"/>
          <w:sz w:val="24"/>
          <w:highlight w:val="none"/>
        </w:rPr>
        <w:t xml:space="preserve">加盖CA电子公章</w:t>
      </w:r>
      <w:r>
        <w:rPr>
          <w:rFonts w:hint="eastAsia" w:ascii="宋体" w:hAnsi="宋体" w:eastAsia="宋体" w:cs="宋体"/>
          <w:bCs/>
          <w:color w:val="auto"/>
          <w:sz w:val="24"/>
          <w:szCs w:val="24"/>
          <w:highlight w:val="none"/>
        </w:rPr>
        <w:t xml:space="preserve">）</w:t>
      </w:r>
      <w:r/>
    </w:p>
    <w:p>
      <w:pPr>
        <w:pStyle w:val="999"/>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法定代表人或授权代表</w:t>
      </w:r>
      <w:r>
        <w:rPr>
          <w:rFonts w:hint="eastAsia" w:ascii="宋体" w:hAnsi="宋体" w:eastAsia="宋体" w:cs="宋体"/>
          <w:bCs/>
          <w:color w:val="auto"/>
          <w:sz w:val="24"/>
          <w:szCs w:val="24"/>
          <w:highlight w:val="none"/>
        </w:rPr>
        <w:t xml:space="preserve">（签字或盖章）：</w:t>
      </w:r>
      <w:r/>
    </w:p>
    <w:p>
      <w:pPr>
        <w:pStyle w:val="999"/>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pStyle w:val="73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pStyle w:val="732"/>
        <w:rPr>
          <w:rFonts w:hint="eastAsia"/>
          <w:highlight w:val="none"/>
        </w:rPr>
      </w:pPr>
      <w:r>
        <w:rPr>
          <w:rFonts w:hint="eastAsia"/>
          <w:highlight w:val="none"/>
        </w:rPr>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480" w:lineRule="auto"/>
        <w:rPr>
          <w:rFonts w:hint="eastAsia" w:ascii="宋体" w:hAnsi="宋体" w:eastAsia="宋体" w:cs="宋体"/>
          <w:bCs/>
          <w:iCs/>
          <w:color w:val="auto"/>
          <w:sz w:val="28"/>
          <w:szCs w:val="28"/>
          <w:highlight w:val="none"/>
        </w:rPr>
      </w:pPr>
      <w:r>
        <w:rPr>
          <w:rFonts w:hint="eastAsia" w:ascii="宋体" w:hAnsi="宋体" w:eastAsia="宋体" w:cs="宋体"/>
          <w:bCs/>
          <w:iCs/>
          <w:color w:val="auto"/>
          <w:sz w:val="24"/>
          <w:szCs w:val="24"/>
          <w:highlight w:val="none"/>
          <w:u w:val="single"/>
        </w:rPr>
        <w:t xml:space="preserve">泰州市海陵区住房和城乡建设局</w:t>
      </w:r>
      <w:r>
        <w:rPr>
          <w:rFonts w:hint="eastAsia" w:ascii="宋体" w:hAnsi="宋体" w:eastAsia="宋体" w:cs="宋体"/>
          <w:bCs/>
          <w:iCs/>
          <w:color w:val="auto"/>
          <w:sz w:val="24"/>
          <w:szCs w:val="24"/>
          <w:highlight w:val="none"/>
        </w:rPr>
        <w:t xml:space="preserve">：</w:t>
      </w:r>
      <w:r/>
    </w:p>
    <w:p>
      <w:pPr>
        <w:pStyle w:val="1024"/>
        <w:ind w:firstLine="480"/>
        <w:keepLines w:val="0"/>
        <w:keepNext w:val="0"/>
        <w:pageBreakBefore w:val="0"/>
        <w:spacing w:line="5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按照采购文件的要求，我方（投标供应商）提交的资格证明文件及有关资料，用于你方（采购人）审查我方参加</w:t>
      </w:r>
      <w:r>
        <w:rPr>
          <w:rFonts w:hint="eastAsia" w:ascii="宋体" w:hAnsi="宋体" w:eastAsia="宋体" w:cs="宋体"/>
          <w:bCs/>
          <w:sz w:val="24"/>
          <w:szCs w:val="24"/>
          <w:highlight w:val="none"/>
          <w:u w:val="single"/>
        </w:rPr>
        <w:t xml:space="preserve">          （项目名称）</w:t>
      </w:r>
      <w:r>
        <w:rPr>
          <w:rFonts w:hint="eastAsia" w:ascii="宋体" w:hAnsi="宋体" w:eastAsia="宋体" w:cs="宋体"/>
          <w:bCs/>
          <w:sz w:val="24"/>
          <w:szCs w:val="24"/>
          <w:highlight w:val="none"/>
        </w:rPr>
        <w:t xml:space="preserve">政府采购活动的投标资格。我方在此声明：</w:t>
      </w:r>
      <w:r/>
    </w:p>
    <w:p>
      <w:pPr>
        <w:pStyle w:val="1024"/>
        <w:ind w:firstLine="480"/>
        <w:keepLines w:val="0"/>
        <w:keepNext w:val="0"/>
        <w:pageBreakBefore w:val="0"/>
        <w:spacing w:line="5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所提交的资格证明文件及有关资料内容完整、真实和准确。</w:t>
      </w:r>
      <w:r/>
    </w:p>
    <w:p>
      <w:pPr>
        <w:pStyle w:val="1024"/>
        <w:ind w:firstLine="480"/>
        <w:keepLines w:val="0"/>
        <w:keepNext w:val="0"/>
        <w:pageBreakBefore w:val="0"/>
        <w:spacing w:line="5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我方未以他人名义投标、串标或以其他方式弄虚作假投标。</w:t>
      </w:r>
      <w:r/>
    </w:p>
    <w:p>
      <w:pPr>
        <w:pStyle w:val="1024"/>
        <w:ind w:firstLine="480"/>
        <w:keepLines w:val="0"/>
        <w:keepNext w:val="0"/>
        <w:pageBreakBefore w:val="0"/>
        <w:spacing w:line="5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我方未向采购人或评标委员会行贿谋取中标。</w:t>
      </w:r>
      <w:r/>
    </w:p>
    <w:p>
      <w:pPr>
        <w:ind w:firstLine="480"/>
        <w:keepLines w:val="0"/>
        <w:keepNext w:val="0"/>
        <w:pageBreakBefore w:val="0"/>
        <w:spacing w:line="5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我方若有违法违规行为</w:t>
      </w:r>
      <w:r>
        <w:rPr>
          <w:rFonts w:hint="eastAsia" w:ascii="宋体" w:hAnsi="宋体" w:eastAsia="宋体" w:cs="宋体"/>
          <w:bCs/>
          <w:sz w:val="24"/>
          <w:szCs w:val="24"/>
          <w:highlight w:val="none"/>
          <w:lang w:eastAsia="zh-CN"/>
        </w:rPr>
        <w:t xml:space="preserve">，自</w:t>
      </w:r>
      <w:r>
        <w:rPr>
          <w:rFonts w:hint="eastAsia" w:ascii="宋体" w:hAnsi="宋体" w:eastAsia="宋体" w:cs="宋体"/>
          <w:bCs/>
          <w:sz w:val="24"/>
          <w:szCs w:val="24"/>
          <w:highlight w:val="none"/>
        </w:rPr>
        <w:t xml:space="preserve">愿承担违诺违规责任，取消响应资格，列入政府采购不良行为记录，并根据《中华人民共和国政府采购法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中华人民共和国政府采购法实施条例》等有关</w:t>
      </w:r>
      <w:r>
        <w:rPr>
          <w:rFonts w:hint="eastAsia" w:ascii="宋体" w:hAnsi="宋体" w:eastAsia="宋体" w:cs="宋体"/>
          <w:bCs/>
          <w:sz w:val="24"/>
          <w:szCs w:val="24"/>
          <w:highlight w:val="none"/>
          <w:lang w:eastAsia="zh-CN"/>
        </w:rPr>
        <w:t xml:space="preserve">法律法规</w:t>
      </w:r>
      <w:r>
        <w:rPr>
          <w:rFonts w:hint="eastAsia" w:ascii="宋体" w:hAnsi="宋体" w:eastAsia="宋体" w:cs="宋体"/>
          <w:bCs/>
          <w:sz w:val="24"/>
          <w:szCs w:val="24"/>
          <w:highlight w:val="none"/>
        </w:rPr>
        <w:t xml:space="preserve">和规章中的相关条款进行处罚。如已中标的，自动取消中标资格；给采购人造成损失的，依法承担赔偿责任。</w:t>
      </w:r>
      <w:r/>
    </w:p>
    <w:p>
      <w:pPr>
        <w:pStyle w:val="732"/>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56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8"/>
          <w:szCs w:val="28"/>
          <w:highlight w:val="none"/>
        </w:rPr>
        <w:t xml:space="preserve">                        </w:t>
      </w:r>
      <w:r>
        <w:rPr>
          <w:rFonts w:hint="eastAsia" w:ascii="宋体" w:hAnsi="宋体" w:eastAsia="宋体" w:cs="宋体"/>
          <w:bCs/>
          <w:color w:val="auto"/>
          <w:sz w:val="24"/>
          <w:highlight w:val="none"/>
        </w:rPr>
        <w:t xml:space="preserve">法定代表人或授权代表（签字或盖章）：</w:t>
      </w:r>
      <w:r/>
    </w:p>
    <w:p>
      <w:pPr>
        <w:ind w:firstLine="480"/>
        <w:jc w:val="right"/>
        <w:spacing w:line="400" w:lineRule="exact"/>
        <w:rPr>
          <w:rFonts w:hint="eastAsia" w:ascii="宋体" w:hAnsi="宋体" w:eastAsia="宋体" w:cs="宋体"/>
          <w:bCs/>
          <w:color w:val="auto"/>
          <w:sz w:val="24"/>
          <w:highlight w:val="none"/>
        </w:rPr>
      </w:pPr>
      <w:r/>
      <w:bookmarkStart w:id="68" w:name="OLE_LINK21"/>
      <w:r>
        <w:rPr>
          <w:rFonts w:hint="eastAsia" w:ascii="宋体" w:hAnsi="宋体" w:eastAsia="宋体" w:cs="宋体"/>
          <w:bCs/>
          <w:color w:val="auto"/>
          <w:sz w:val="24"/>
          <w:highlight w:val="none"/>
        </w:rPr>
        <w:t xml:space="preserve">单位名称：（加盖CA电子公章）</w:t>
      </w:r>
      <w:r/>
    </w:p>
    <w:p>
      <w:pPr>
        <w:ind w:firstLine="56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End w:id="68"/>
      <w:r/>
      <w:r/>
    </w:p>
    <w:p>
      <w:pPr>
        <w:pStyle w:val="102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3"/>
        <w:ind w:left="0"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法定代表人授权委托书</w:t>
      </w:r>
      <w:r/>
    </w:p>
    <w:p>
      <w:pPr>
        <w:pStyle w:val="983"/>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83"/>
        <w:rPr>
          <w:rFonts w:hint="eastAsia" w:ascii="宋体" w:hAnsi="宋体" w:eastAsia="宋体" w:cs="宋体"/>
          <w:bCs/>
          <w:iCs/>
          <w:color w:val="auto"/>
          <w:szCs w:val="24"/>
          <w:highlight w:val="none"/>
          <w:u w:val="single"/>
        </w:rPr>
      </w:pPr>
      <w:r>
        <w:rPr>
          <w:rFonts w:hint="eastAsia" w:ascii="宋体" w:hAnsi="宋体" w:eastAsia="宋体" w:cs="宋体"/>
          <w:bCs/>
          <w:iCs/>
          <w:color w:val="auto"/>
          <w:szCs w:val="24"/>
          <w:highlight w:val="none"/>
          <w:u w:val="single"/>
        </w:rPr>
      </w:r>
      <w:r/>
    </w:p>
    <w:p>
      <w:pPr>
        <w:pStyle w:val="983"/>
        <w:ind w:firstLine="0"/>
        <w:rPr>
          <w:rFonts w:hint="eastAsia" w:ascii="宋体" w:hAnsi="宋体" w:eastAsia="宋体" w:cs="宋体"/>
          <w:color w:val="auto"/>
          <w:szCs w:val="24"/>
          <w:highlight w:val="none"/>
        </w:rPr>
      </w:pPr>
      <w:r>
        <w:rPr>
          <w:rFonts w:hint="eastAsia" w:ascii="宋体" w:hAnsi="宋体" w:eastAsia="宋体" w:cs="宋体"/>
          <w:bCs/>
          <w:iCs/>
          <w:color w:val="auto"/>
          <w:sz w:val="24"/>
          <w:szCs w:val="24"/>
          <w:highlight w:val="none"/>
          <w:u w:val="single"/>
        </w:rPr>
        <w:t xml:space="preserve">泰州市海陵区住房和城乡建设局</w:t>
      </w:r>
      <w:r>
        <w:rPr>
          <w:rFonts w:hint="eastAsia" w:ascii="宋体" w:hAnsi="宋体" w:eastAsia="宋体" w:cs="宋体"/>
          <w:bCs/>
          <w:iCs/>
          <w:color w:val="auto"/>
          <w:szCs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系中华人民共和国合法公司（单位），特授权</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代表我公司（单位）全权办理针对本项目（</w:t>
      </w:r>
      <w:r>
        <w:rPr>
          <w:rFonts w:hint="eastAsia" w:ascii="宋体" w:hAnsi="宋体" w:eastAsia="宋体" w:cs="宋体"/>
          <w:color w:val="auto"/>
          <w:sz w:val="24"/>
          <w:szCs w:val="24"/>
          <w:highlight w:val="none"/>
          <w:lang w:val="en-US" w:eastAsia="zh-CN"/>
        </w:rPr>
        <w:t xml:space="preserve">项目编号：                 </w:t>
      </w:r>
      <w:r>
        <w:rPr>
          <w:rFonts w:hint="eastAsia" w:ascii="宋体" w:hAnsi="宋体" w:eastAsia="宋体" w:cs="宋体"/>
          <w:bCs/>
          <w:color w:val="auto"/>
          <w:sz w:val="24"/>
          <w:highlight w:val="none"/>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我公司（单位）对被授权代表的签名负全部责任。</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被授权代表情况：</w:t>
      </w:r>
      <w:r/>
    </w:p>
    <w:p>
      <w:pPr>
        <w:ind w:firstLine="480"/>
        <w:spacing w:line="580" w:lineRule="exact"/>
        <w:rPr>
          <w:rFonts w:hint="eastAsia" w:ascii="宋体" w:hAnsi="宋体" w:eastAsia="宋体" w:cs="宋体"/>
          <w:color w:val="auto"/>
          <w:sz w:val="21"/>
          <w:szCs w:val="21"/>
          <w:highlight w:val="none"/>
        </w:rPr>
      </w:pPr>
      <w:r>
        <w:rPr>
          <w:rFonts w:hint="eastAsia" w:ascii="宋体" w:hAnsi="宋体" w:eastAsia="宋体" w:cs="宋体"/>
          <w:bCs/>
          <w:color w:val="auto"/>
          <w:sz w:val="24"/>
          <w:highlight w:val="none"/>
        </w:rPr>
        <w:t xml:space="preserve">姓名：         性别：       电话：</w:t>
      </w:r>
      <w:r/>
    </w:p>
    <w:p>
      <w:pPr>
        <w:pStyle w:val="983"/>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3"/>
        <w:jc w:val="righ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83"/>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p>
    <w:p>
      <w:pPr>
        <w:pStyle w:val="983"/>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83"/>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法定代表人或授权代表（签字或盖章）：</w:t>
      </w:r>
      <w:r/>
    </w:p>
    <w:p>
      <w:pPr>
        <w:ind w:firstLine="48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单位名称：（加盖CA电子公章）</w:t>
      </w:r>
      <w:r/>
    </w:p>
    <w:p>
      <w:pPr>
        <w:ind w:firstLine="48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3"/>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jc w:val="left"/>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u w:val="single"/>
        </w:rPr>
      </w:r>
      <w:r>
        <w:rPr>
          <w:rFonts w:ascii="SimSun" w:hAnsi="SimSun" w:eastAsia="SimSun" w:cs="SimSun"/>
          <w:color w:val="000000"/>
          <w:sz w:val="24"/>
        </w:rPr>
        <w:t xml:space="preserve">附：投标人法定代表人授权代表身份证扫描件</w:t>
      </w:r>
      <w:r>
        <w:rPr>
          <w:rFonts w:hint="eastAsia" w:ascii="宋体" w:hAnsi="宋体" w:eastAsia="宋体" w:cs="宋体"/>
          <w:color w:val="auto"/>
          <w:sz w:val="28"/>
          <w:highlight w:val="none"/>
          <w:u w:val="single"/>
        </w:rPr>
        <w:br w:type="page" w:clear="all"/>
      </w:r>
      <w:bookmarkEnd w:id="48"/>
      <w:r/>
      <w:bookmarkEnd w:id="49"/>
      <w:r/>
      <w:bookmarkEnd w:id="50"/>
      <w:r/>
      <w:bookmarkEnd w:id="51"/>
      <w:r/>
      <w:bookmarkEnd w:id="52"/>
      <w:r/>
      <w:bookmarkEnd w:id="53"/>
      <w:r/>
      <w:bookmarkEnd w:id="54"/>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无重大违法记录声明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本公司参与贵方组织</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 xml:space="preserve">作出如下声明：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本公司参加本次政府采购活动前3年内，在经营活动中没有重大违法记录。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本公司随时接受采购人的检查验证。如违反上述承诺，本公司将按照《中华人民共和国政府采购法》有关规定接受处罚，并通过江苏省相关政府采购媒体予以公布。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特此声明。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highlight w:val="none"/>
        </w:rPr>
        <w:t xml:space="preserve">加盖CA电子公章</w:t>
      </w:r>
      <w:r>
        <w:rPr>
          <w:rFonts w:hint="eastAsia" w:ascii="宋体" w:hAnsi="宋体" w:eastAsia="宋体" w:cs="宋体"/>
          <w:b w:val="0"/>
          <w:bCs w:val="0"/>
          <w:color w:val="auto"/>
          <w:sz w:val="24"/>
          <w:szCs w:val="24"/>
          <w:highlight w:val="none"/>
        </w:rPr>
        <w:t xml:space="preserve">）</w:t>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法定代表人或授权委托代理人 ：（签字或盖章）</w:t>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w:t>
      </w:r>
      <w:r/>
    </w:p>
    <w:p>
      <w:pPr>
        <w:pStyle w:val="735"/>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35"/>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2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6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6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6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5"/>
        <w:ind w:firstLine="0"/>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735"/>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t xml:space="preserve">具备履行合同所必需的设备和专业技术能力的书面声明（格式自拟）</w:t>
      </w:r>
      <w:r/>
    </w:p>
    <w:p>
      <w:pPr>
        <w:jc w:val="center"/>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u w:val="singl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pacing w:val="20"/>
          <w:sz w:val="32"/>
          <w:szCs w:val="32"/>
          <w:highlight w:val="none"/>
        </w:rPr>
        <w:t xml:space="preserve">承诺书</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名称）：</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我单位郑重承诺以下事项：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1.本公司（单位）对本项目（</w:t>
      </w:r>
      <w:r>
        <w:rPr>
          <w:rFonts w:hint="eastAsia" w:ascii="宋体" w:hAnsi="宋体" w:eastAsia="宋体" w:cs="宋体"/>
          <w:color w:val="auto"/>
          <w:sz w:val="24"/>
          <w:szCs w:val="24"/>
          <w:highlight w:val="none"/>
          <w:lang w:val="en-US" w:eastAsia="zh-CN"/>
        </w:rPr>
        <w:t xml:space="preserve">项目编号：              </w:t>
      </w:r>
      <w:r>
        <w:rPr>
          <w:rFonts w:hint="eastAsia" w:ascii="宋体" w:hAnsi="宋体" w:eastAsia="宋体" w:cs="宋体"/>
          <w:color w:val="auto"/>
          <w:sz w:val="24"/>
          <w:szCs w:val="24"/>
          <w:highlight w:val="none"/>
        </w:rPr>
        <w:t xml:space="preserve">）所提供的</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不低于采购文件要求的标准。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2.本公司未被“信用中国”网站（www.creditchina.gov.cn）列入失信被执行人、重大税收违法</w:t>
      </w:r>
      <w:r>
        <w:rPr>
          <w:rFonts w:hint="eastAsia" w:ascii="宋体" w:hAnsi="宋体" w:eastAsia="宋体" w:cs="宋体"/>
          <w:color w:val="auto"/>
          <w:sz w:val="24"/>
          <w:szCs w:val="24"/>
          <w:highlight w:val="none"/>
          <w:lang w:val="en-US" w:eastAsia="zh-CN"/>
        </w:rPr>
        <w:t xml:space="preserve">失信主体</w:t>
      </w:r>
      <w:r>
        <w:rPr>
          <w:rFonts w:hint="eastAsia" w:ascii="宋体" w:hAnsi="宋体" w:eastAsia="宋体" w:cs="宋体"/>
          <w:color w:val="auto"/>
          <w:sz w:val="24"/>
          <w:szCs w:val="24"/>
          <w:highlight w:val="none"/>
        </w:rPr>
        <w:t xml:space="preserve">、政府采购严重违法失信行为记录名单。</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.本公司投标截止时间前一年内，未因环境违法行为被生态环境部门处罚。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本公司承诺响应招标文件所有内容。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.本公司承诺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文件中所提及的相关</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val="en-US" w:eastAsia="zh-CN"/>
        </w:rPr>
        <w:t xml:space="preserve">本公司</w:t>
      </w:r>
      <w:r>
        <w:rPr>
          <w:rFonts w:hint="eastAsia" w:ascii="宋体" w:hAnsi="宋体" w:eastAsia="宋体" w:cs="宋体"/>
          <w:color w:val="auto"/>
          <w:sz w:val="24"/>
          <w:szCs w:val="24"/>
          <w:highlight w:val="none"/>
        </w:rPr>
        <w:t xml:space="preserve">将严格按照条款要求执行。</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我单位承诺如果服务过程中未按上述要求履行，我单位承担违约责任，双倍赔偿</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损失，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可直接解除合同，并没收履约保证金。</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如违背上述承诺，本公司（单位）将承担一切法律责任。  </w:t>
      </w: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5"/>
        <w:jc w:val="righ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eastAsia="宋体" w:cs="宋体"/>
          <w:bCs/>
          <w:color w:val="auto"/>
          <w:sz w:val="24"/>
          <w:highlight w:val="none"/>
        </w:rPr>
        <w:t xml:space="preserve">加盖CA电子公章</w:t>
      </w:r>
      <w:r>
        <w:rPr>
          <w:rFonts w:hint="eastAsia" w:ascii="宋体" w:hAnsi="宋体" w:eastAsia="宋体" w:cs="宋体"/>
          <w:color w:val="auto"/>
          <w:highlight w:val="none"/>
        </w:rPr>
        <w:t xml:space="preserve">）</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spacing w:line="4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jc w:val="cente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br w:type="page" w:clear="all"/>
      </w:r>
      <w:r/>
    </w:p>
    <w:p>
      <w:pPr>
        <w:jc w:val="center"/>
        <w:keepLines/>
        <w:keepNext/>
        <w:spacing w:before="120" w:after="120"/>
        <w:rPr>
          <w:rFonts w:hint="eastAsia" w:ascii="宋体" w:hAnsi="宋体" w:eastAsia="宋体" w:cs="宋体"/>
          <w:b/>
          <w:bCs/>
          <w:color w:val="auto"/>
          <w:sz w:val="32"/>
          <w:szCs w:val="32"/>
          <w:highlight w:val="none"/>
        </w:rPr>
        <w:outlineLvl w:val="0"/>
      </w:pPr>
      <w:r/>
      <w:bookmarkStart w:id="69" w:name="_Toc22143_WPSOffice_Level1"/>
      <w:r/>
      <w:bookmarkStart w:id="70" w:name="_Toc22881_WPSOffice_Level1"/>
      <w:r/>
      <w:bookmarkStart w:id="71" w:name="_Toc32173"/>
      <w:r/>
      <w:bookmarkStart w:id="72" w:name="_Toc1623_WPSOffice_Level1"/>
      <w:r>
        <w:rPr>
          <w:rFonts w:hint="eastAsia" w:ascii="宋体" w:hAnsi="宋体" w:eastAsia="宋体" w:cs="宋体"/>
          <w:b/>
          <w:bCs/>
          <w:color w:val="auto"/>
          <w:sz w:val="32"/>
          <w:szCs w:val="32"/>
          <w:highlight w:val="none"/>
        </w:rPr>
        <w:t xml:space="preserve">商务偏离表</w:t>
      </w:r>
      <w:bookmarkEnd w:id="69"/>
      <w:r/>
      <w:bookmarkEnd w:id="70"/>
      <w:r/>
      <w:bookmarkEnd w:id="71"/>
      <w:r/>
      <w:bookmarkEnd w:id="72"/>
      <w:r/>
      <w:r/>
    </w:p>
    <w:tbl>
      <w:tblPr>
        <w:tblStyle w:val="731"/>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招标文件中的商务条款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24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若无偏离，在“有无偏离”栏中填写“无”；若有偏离在“有无偏离”栏中填写“有”并在“偏离内容及原因”栏中作出说明。</w:t>
      </w:r>
      <w:r/>
    </w:p>
    <w:p>
      <w:pPr>
        <w:pStyle w:val="1014"/>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4"/>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4"/>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w:t>
      </w:r>
      <w:r>
        <w:rPr>
          <w:rFonts w:hint="eastAsia" w:ascii="宋体" w:hAnsi="宋体" w:eastAsia="宋体" w:cs="宋体"/>
          <w:bCs/>
          <w:color w:val="auto"/>
          <w:highlight w:val="none"/>
        </w:rPr>
        <w:t xml:space="preserve">加盖CA电子公章</w:t>
      </w:r>
      <w:r>
        <w:rPr>
          <w:rFonts w:hint="eastAsia" w:ascii="宋体" w:hAnsi="宋体" w:eastAsia="宋体" w:cs="宋体"/>
          <w:color w:val="auto"/>
          <w:szCs w:val="24"/>
          <w:highlight w:val="none"/>
        </w:rPr>
        <w:t xml:space="preserve">）：</w:t>
      </w:r>
      <w:r/>
    </w:p>
    <w:p>
      <w:pPr>
        <w:pStyle w:val="1014"/>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法定代表人或法定代表人授权代表（签字或盖章）：</w:t>
      </w:r>
      <w:r/>
    </w:p>
    <w:p>
      <w:pPr>
        <w:pStyle w:val="1014"/>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技术偏离表</w:t>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tbl>
      <w:tblPr>
        <w:tblStyle w:val="731"/>
        <w:tblW w:w="9201"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327"/>
        <w:gridCol w:w="2558"/>
        <w:gridCol w:w="1590"/>
        <w:gridCol w:w="1962"/>
      </w:tblGrid>
      <w:tr>
        <w:trPr>
          <w:trHeight w:val="83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偏离内容及原因</w:t>
            </w:r>
            <w:r/>
          </w:p>
        </w:tc>
      </w:tr>
      <w:tr>
        <w:trPr>
          <w:trHeight w:val="97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5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ind w:firstLine="482"/>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若无偏离，在“有无偏离”栏中填写“无”；若有偏离在“有无偏离”栏中填写“有”并在“偏离内容及原因”栏中作出说明</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未填写内容的视为全部响应 。</w:t>
      </w:r>
      <w:r/>
    </w:p>
    <w:p>
      <w:pPr>
        <w:pStyle w:val="1014"/>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4"/>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4"/>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w:t>
      </w:r>
      <w:r>
        <w:rPr>
          <w:rFonts w:hint="eastAsia" w:ascii="宋体" w:hAnsi="宋体" w:eastAsia="宋体" w:cs="宋体"/>
          <w:bCs/>
          <w:color w:val="auto"/>
          <w:highlight w:val="none"/>
        </w:rPr>
        <w:t xml:space="preserve">加盖CA电子公章</w:t>
      </w:r>
      <w:r>
        <w:rPr>
          <w:rFonts w:hint="eastAsia" w:ascii="宋体" w:hAnsi="宋体" w:eastAsia="宋体" w:cs="宋体"/>
          <w:color w:val="auto"/>
          <w:szCs w:val="24"/>
          <w:highlight w:val="none"/>
        </w:rPr>
        <w:t xml:space="preserve">）：</w:t>
      </w:r>
      <w:r/>
    </w:p>
    <w:p>
      <w:pPr>
        <w:pStyle w:val="1014"/>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法定代表人或法定代表人授权代表（签字或盖章）：</w:t>
      </w:r>
      <w:r/>
    </w:p>
    <w:p>
      <w:pPr>
        <w:pStyle w:val="1014"/>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jc w:val="center"/>
        <w:spacing w:line="520" w:lineRule="exact"/>
        <w:rPr>
          <w:rFonts w:hint="eastAsia" w:ascii="宋体" w:hAnsi="宋体" w:eastAsia="宋体" w:cs="宋体"/>
          <w:b/>
          <w:color w:val="auto"/>
          <w:spacing w:val="-4"/>
          <w:sz w:val="24"/>
          <w:szCs w:val="24"/>
          <w:highlight w:val="none"/>
        </w:rPr>
      </w:pPr>
      <w:r>
        <w:rPr>
          <w:rFonts w:hint="eastAsia" w:ascii="宋体" w:hAnsi="宋体" w:eastAsia="宋体" w:cs="宋体"/>
          <w:b/>
          <w:color w:val="auto"/>
          <w:spacing w:val="-4"/>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中小企业声明函</w:t>
      </w:r>
      <w:r/>
    </w:p>
    <w:p>
      <w:pPr>
        <w:ind w:firstLine="72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72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（项目名称和标段）</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其他未列明行业 </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（企业名称）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84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jc w:val="cente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pStyle w:val="994"/>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4"/>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（备注：1、参照《关于印发中小企业划型标准规定的通知》（工信部联企业</w:t>
      </w:r>
      <w:r>
        <w:rPr>
          <w:rFonts w:hint="eastAsia"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w:t>
      </w:r>
      <w:bookmarkStart w:id="73" w:name="OLE_LINK6"/>
      <w:r>
        <w:rPr>
          <w:rFonts w:hint="eastAsia" w:ascii="宋体" w:hAnsi="宋体" w:eastAsia="宋体" w:cs="宋体"/>
          <w:color w:val="auto"/>
          <w:sz w:val="24"/>
          <w:szCs w:val="24"/>
          <w:highlight w:val="none"/>
        </w:rPr>
        <w:t xml:space="preserve">本项目所属行业为</w:t>
      </w:r>
      <w:bookmarkEnd w:id="73"/>
      <w:r>
        <w:rPr>
          <w:rFonts w:hint="eastAsia" w:ascii="宋体" w:hAnsi="宋体" w:eastAsia="宋体" w:cs="宋体"/>
          <w:b/>
          <w:bCs/>
          <w:color w:val="auto"/>
          <w:sz w:val="24"/>
          <w:szCs w:val="24"/>
          <w:highlight w:val="none"/>
          <w:u w:val="single"/>
          <w:lang w:val="en-US" w:eastAsia="zh-CN"/>
        </w:rPr>
        <w:t xml:space="preserve">  其他未列明行业  </w:t>
      </w:r>
      <w:r>
        <w:rPr>
          <w:rFonts w:hint="eastAsia" w:ascii="宋体" w:hAnsi="宋体" w:eastAsia="宋体" w:cs="宋体"/>
          <w:color w:val="auto"/>
          <w:sz w:val="24"/>
          <w:szCs w:val="24"/>
          <w:highlight w:val="none"/>
        </w:rPr>
        <w:t xml:space="preserve">。2、请如实填写属于中型企业或小型企业或微型企业。3、</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从业人员、营业收入、资产总额填报上一年度数据，无上一年度数据的新成立企业可不填报。）</w:t>
      </w:r>
      <w:r>
        <w:rPr>
          <w:rFonts w:hint="eastAsia" w:ascii="宋体" w:hAnsi="宋体" w:eastAsia="宋体" w:cs="宋体"/>
          <w:color w:val="auto"/>
          <w:highlight w:val="none"/>
        </w:rPr>
        <w:br w:type="page" w:clear="all"/>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（备注：中标</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为残疾人福利单位的，此声明函将随中标结果同时公告，接受社会监督）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left="3380" w:firstLine="936"/>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rPr>
        <w:t xml:space="preserve">企业名称（加盖CA电子公章）：</w:t>
      </w:r>
      <w:r/>
    </w:p>
    <w:p>
      <w:pPr>
        <w:ind w:right="1560" w:firstLine="480"/>
        <w:jc w:val="center"/>
        <w:spacing w:line="588" w:lineRule="exact"/>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ind w:firstLine="480"/>
        <w:spacing w:line="50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属于监狱企业的证明文件</w:t>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提供由省级以上监狱管理局、戒毒管理局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含新疆生产建设兵团</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出具的属于监狱企业的证明文件</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9"/>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一、质疑供应商基本信息</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质疑供应商：</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地址：邮编：</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联系人：联系电话：</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授权代表：</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地址：邮编：</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二、质疑项目基本情况</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质疑项目的名称：</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质疑项目的编号：包号：</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采购人名称：</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采购文件获取日期：</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三、质疑事项具体内容</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质疑事项1：</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事实依据：</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法律依据：</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质疑事项2</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四、与质疑事项相关的质疑请求</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请求：</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签字</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签字或盖章</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    公章：</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质疑函制作说明：</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1.供应商质疑时，应提交质疑函和必要的证明材料。</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3.质疑供应商若对项目的某一分包进行质疑，质疑函中应列明具体分包号。</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4.质疑函的质疑事项应具体、明确，并有必要的事实依据和法律依据。</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5.质疑函的质疑请求应与质疑事项相关。</w:t>
      </w:r>
      <w:r/>
    </w:p>
    <w:p>
      <w:pPr>
        <w:pStyle w:val="759"/>
        <w:ind w:firstLine="480"/>
        <w:jc w:val="both"/>
        <w:keepLines w:val="0"/>
        <w:keepNext w:val="0"/>
        <w:pageBreakBefore w:val="0"/>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headerReference w:type="default" r:id="rId8"/>
      <w:footerReference w:type="default" r:id="rId9"/>
      <w:footerReference w:type="first" r:id="rId10"/>
      <w:footnotePr/>
      <w:endnotePr/>
      <w:type w:val="nextPage"/>
      <w:pgSz w:w="11906" w:h="16838" w:orient="portrait"/>
      <w:pgMar w:top="1440" w:right="1531" w:bottom="1440" w:left="1531"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entaur">
    <w:panose1 w:val="02030504050205020304"/>
  </w:font>
  <w:font w:name="Myriad Roman">
    <w:panose1 w:val="020B0503020202020204"/>
  </w:font>
  <w:font w:name="TimesNewRomanPSMT">
    <w:panose1 w:val="02020603050405020304"/>
  </w:font>
  <w:font w:name="Tahoma">
    <w:panose1 w:val="020B0604030504040204"/>
  </w:font>
  <w:font w:name="Cambria">
    <w:panose1 w:val="02040503050406030204"/>
  </w:font>
  <w:font w:name="仿宋">
    <w:panose1 w:val="02010609060101010101"/>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楷体_GB2312">
    <w:panose1 w:val="02010609060101010101"/>
  </w:font>
  <w:font w:name="SimSun">
    <w:panose1 w:val="02010600030101010101"/>
  </w:font>
  <w:font w:name="monospace">
    <w:panose1 w:val="020B0503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next w:val="732"/>
    <w:uiPriority w:val="0"/>
    <w:qFormat/>
    <w:pPr>
      <w:jc w:val="both"/>
      <w:widowControl w:val="off"/>
    </w:pPr>
    <w:rPr>
      <w:rFonts w:hint="default" w:ascii="Times New Roman" w:hAnsi="Times New Roman" w:eastAsia="楷体_GB2312" w:cs="Times New Roman"/>
      <w:sz w:val="26"/>
    </w:rPr>
  </w:style>
  <w:style w:type="paragraph" w:styleId="721">
    <w:name w:val="Heading 1"/>
    <w:basedOn w:val="720"/>
    <w:next w:val="720"/>
    <w:link w:val="978"/>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844"/>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845"/>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846"/>
    <w:uiPriority w:val="9"/>
    <w:unhideWhenUsed/>
    <w:qFormat/>
    <w:pPr>
      <w:keepLines/>
      <w:keepNext/>
      <w:spacing w:before="320" w:after="200"/>
      <w:outlineLvl w:val="3"/>
    </w:pPr>
    <w:rPr>
      <w:rFonts w:ascii="Arial" w:hAnsi="Arial" w:eastAsia="Arial" w:cs="Arial"/>
      <w:b/>
      <w:bCs/>
      <w:szCs w:val="26"/>
    </w:rPr>
  </w:style>
  <w:style w:type="paragraph" w:styleId="725">
    <w:name w:val="Heading 5"/>
    <w:basedOn w:val="720"/>
    <w:next w:val="720"/>
    <w:link w:val="847"/>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848"/>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849"/>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850"/>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851"/>
    <w:uiPriority w:val="9"/>
    <w:unhideWhenUsed/>
    <w:qFormat/>
    <w:pPr>
      <w:keepLines/>
      <w:keepNext/>
      <w:spacing w:before="320" w:after="200"/>
      <w:outlineLvl w:val="8"/>
    </w:pPr>
    <w:rPr>
      <w:rFonts w:ascii="Arial" w:hAnsi="Arial" w:eastAsia="Arial" w:cs="Arial"/>
      <w:i/>
      <w:iCs/>
      <w:sz w:val="21"/>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customStyle="1">
    <w:name w:val="正文文本1"/>
    <w:basedOn w:val="720"/>
    <w:link w:val="991"/>
    <w:uiPriority w:val="0"/>
    <w:unhideWhenUsed/>
    <w:qFormat/>
    <w:rPr>
      <w:rFonts w:ascii="楷体_GB2312"/>
      <w:b/>
      <w:bCs/>
      <w:sz w:val="28"/>
    </w:rPr>
  </w:style>
  <w:style w:type="paragraph" w:styleId="733">
    <w:name w:val="toc 7"/>
    <w:basedOn w:val="720"/>
    <w:next w:val="720"/>
    <w:uiPriority w:val="39"/>
    <w:unhideWhenUsed/>
    <w:qFormat/>
    <w:pPr>
      <w:ind w:left="1701"/>
      <w:spacing w:after="57"/>
    </w:pPr>
  </w:style>
  <w:style w:type="paragraph" w:styleId="734">
    <w:name w:val="table of authorities"/>
    <w:basedOn w:val="720"/>
    <w:next w:val="720"/>
    <w:uiPriority w:val="99"/>
    <w:qFormat/>
    <w:pPr>
      <w:ind w:left="0"/>
      <w:jc w:val="center"/>
      <w:spacing w:after="200" w:line="240" w:lineRule="auto"/>
    </w:pPr>
    <w:rPr>
      <w:rFonts w:eastAsia="黑体"/>
      <w:b/>
      <w:sz w:val="18"/>
    </w:rPr>
  </w:style>
  <w:style w:type="paragraph" w:styleId="735">
    <w:name w:val="Normal Indent"/>
    <w:basedOn w:val="720"/>
    <w:next w:val="720"/>
    <w:link w:val="1124"/>
    <w:uiPriority w:val="0"/>
    <w:unhideWhenUsed/>
    <w:qFormat/>
    <w:pPr>
      <w:ind w:firstLine="420"/>
      <w:jc w:val="left"/>
    </w:pPr>
    <w:rPr>
      <w:sz w:val="24"/>
    </w:rPr>
  </w:style>
  <w:style w:type="paragraph" w:styleId="736">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Document Map"/>
    <w:basedOn w:val="720"/>
    <w:uiPriority w:val="0"/>
    <w:unhideWhenUsed/>
    <w:qFormat/>
    <w:pPr>
      <w:shd w:val="clear" w:color="auto" w:fill="000080"/>
    </w:pPr>
    <w:rPr>
      <w:rFonts w:eastAsia="宋体"/>
      <w:sz w:val="21"/>
      <w:szCs w:val="24"/>
    </w:rPr>
  </w:style>
  <w:style w:type="paragraph" w:styleId="738">
    <w:name w:val="annotation text"/>
    <w:basedOn w:val="720"/>
    <w:uiPriority w:val="0"/>
    <w:qFormat/>
    <w:pPr>
      <w:jc w:val="left"/>
    </w:pPr>
  </w:style>
  <w:style w:type="paragraph" w:styleId="739">
    <w:name w:val="Body Text"/>
    <w:basedOn w:val="720"/>
    <w:uiPriority w:val="0"/>
    <w:qFormat/>
    <w:rPr>
      <w:rFonts w:ascii="楷体_GB2312" w:hAnsi="Arial"/>
      <w:sz w:val="28"/>
    </w:rPr>
  </w:style>
  <w:style w:type="paragraph" w:styleId="740">
    <w:name w:val="Body Text Indent"/>
    <w:basedOn w:val="720"/>
    <w:uiPriority w:val="0"/>
    <w:qFormat/>
    <w:pPr>
      <w:ind w:firstLine="645"/>
    </w:pPr>
    <w:rPr>
      <w:rFonts w:ascii="楷体_GB2312" w:hAnsiTheme="minorHAnsi" w:cstheme="minorBidi"/>
      <w:sz w:val="32"/>
      <w:szCs w:val="22"/>
    </w:rPr>
  </w:style>
  <w:style w:type="paragraph" w:styleId="741">
    <w:name w:val="index 4"/>
    <w:basedOn w:val="720"/>
    <w:next w:val="720"/>
    <w:uiPriority w:val="0"/>
    <w:semiHidden/>
    <w:qFormat/>
    <w:pPr>
      <w:ind w:left="1260"/>
    </w:pPr>
  </w:style>
  <w:style w:type="paragraph" w:styleId="742">
    <w:name w:val="toc 5"/>
    <w:basedOn w:val="720"/>
    <w:next w:val="720"/>
    <w:uiPriority w:val="39"/>
    <w:unhideWhenUsed/>
    <w:qFormat/>
    <w:pPr>
      <w:ind w:left="1134"/>
      <w:spacing w:after="57"/>
    </w:pPr>
  </w:style>
  <w:style w:type="paragraph" w:styleId="743">
    <w:name w:val="toc 3"/>
    <w:basedOn w:val="720"/>
    <w:next w:val="720"/>
    <w:uiPriority w:val="39"/>
    <w:unhideWhenUsed/>
    <w:qFormat/>
    <w:pPr>
      <w:ind w:left="567"/>
      <w:spacing w:after="57"/>
    </w:pPr>
  </w:style>
  <w:style w:type="paragraph" w:styleId="744">
    <w:name w:val="Plain Text"/>
    <w:basedOn w:val="720"/>
    <w:next w:val="735"/>
    <w:link w:val="1118"/>
    <w:uiPriority w:val="0"/>
    <w:unhideWhenUsed/>
    <w:qFormat/>
    <w:rPr>
      <w:rFonts w:ascii="宋体" w:hAnsi="Courier New"/>
    </w:rPr>
  </w:style>
  <w:style w:type="paragraph" w:styleId="745">
    <w:name w:val="toc 8"/>
    <w:basedOn w:val="720"/>
    <w:next w:val="720"/>
    <w:uiPriority w:val="39"/>
    <w:unhideWhenUsed/>
    <w:qFormat/>
    <w:pPr>
      <w:ind w:left="1984"/>
      <w:spacing w:after="57"/>
    </w:pPr>
  </w:style>
  <w:style w:type="paragraph" w:styleId="746">
    <w:name w:val="endnote text"/>
    <w:basedOn w:val="720"/>
    <w:link w:val="968"/>
    <w:uiPriority w:val="99"/>
    <w:semiHidden/>
    <w:unhideWhenUsed/>
    <w:qFormat/>
    <w:rPr>
      <w:sz w:val="20"/>
    </w:rPr>
  </w:style>
  <w:style w:type="paragraph" w:styleId="747">
    <w:name w:val="Footer"/>
    <w:basedOn w:val="720"/>
    <w:link w:val="860"/>
    <w:uiPriority w:val="99"/>
    <w:unhideWhenUsed/>
    <w:qFormat/>
    <w:pPr>
      <w:tabs>
        <w:tab w:val="center" w:pos="7143" w:leader="none"/>
        <w:tab w:val="right" w:pos="14287" w:leader="none"/>
      </w:tabs>
    </w:pPr>
  </w:style>
  <w:style w:type="paragraph" w:styleId="748">
    <w:name w:val="envelope return"/>
    <w:basedOn w:val="720"/>
    <w:uiPriority w:val="99"/>
    <w:unhideWhenUsed/>
    <w:qFormat/>
    <w:rPr>
      <w:rFonts w:ascii="Arial" w:hAnsi="Arial"/>
    </w:rPr>
  </w:style>
  <w:style w:type="paragraph" w:styleId="749">
    <w:name w:val="Header"/>
    <w:basedOn w:val="720"/>
    <w:link w:val="858"/>
    <w:uiPriority w:val="99"/>
    <w:unhideWhenUsed/>
    <w:qFormat/>
    <w:pPr>
      <w:tabs>
        <w:tab w:val="center" w:pos="7143" w:leader="none"/>
        <w:tab w:val="right" w:pos="14287" w:leader="none"/>
      </w:tabs>
    </w:pPr>
  </w:style>
  <w:style w:type="paragraph" w:styleId="750">
    <w:name w:val="toc 1"/>
    <w:basedOn w:val="720"/>
    <w:next w:val="720"/>
    <w:uiPriority w:val="39"/>
    <w:unhideWhenUsed/>
    <w:qFormat/>
    <w:pPr>
      <w:spacing w:after="57"/>
    </w:pPr>
  </w:style>
  <w:style w:type="paragraph" w:styleId="751">
    <w:name w:val="toc 4"/>
    <w:basedOn w:val="720"/>
    <w:next w:val="720"/>
    <w:uiPriority w:val="39"/>
    <w:unhideWhenUsed/>
    <w:qFormat/>
    <w:pPr>
      <w:ind w:left="850"/>
      <w:spacing w:after="57"/>
    </w:pPr>
  </w:style>
  <w:style w:type="paragraph" w:styleId="752">
    <w:name w:val="Subtitle"/>
    <w:basedOn w:val="720"/>
    <w:next w:val="720"/>
    <w:link w:val="853"/>
    <w:uiPriority w:val="11"/>
    <w:qFormat/>
    <w:pPr>
      <w:spacing w:before="200" w:after="200"/>
    </w:pPr>
    <w:rPr>
      <w:sz w:val="24"/>
      <w:szCs w:val="24"/>
    </w:rPr>
  </w:style>
  <w:style w:type="paragraph" w:styleId="753">
    <w:name w:val="footnote text"/>
    <w:basedOn w:val="720"/>
    <w:link w:val="967"/>
    <w:uiPriority w:val="99"/>
    <w:semiHidden/>
    <w:unhideWhenUsed/>
    <w:qFormat/>
    <w:pPr>
      <w:spacing w:after="40"/>
    </w:pPr>
    <w:rPr>
      <w:sz w:val="18"/>
    </w:rPr>
  </w:style>
  <w:style w:type="paragraph" w:styleId="754">
    <w:name w:val="toc 6"/>
    <w:basedOn w:val="720"/>
    <w:next w:val="720"/>
    <w:uiPriority w:val="39"/>
    <w:unhideWhenUsed/>
    <w:qFormat/>
    <w:pPr>
      <w:ind w:left="1417"/>
      <w:spacing w:after="57"/>
    </w:pPr>
  </w:style>
  <w:style w:type="paragraph" w:styleId="755">
    <w:name w:val="table of figures"/>
    <w:basedOn w:val="720"/>
    <w:next w:val="720"/>
    <w:uiPriority w:val="99"/>
    <w:unhideWhenUsed/>
    <w:qFormat/>
  </w:style>
  <w:style w:type="paragraph" w:styleId="756">
    <w:name w:val="toc 2"/>
    <w:basedOn w:val="720"/>
    <w:next w:val="720"/>
    <w:uiPriority w:val="39"/>
    <w:unhideWhenUsed/>
    <w:qFormat/>
    <w:pPr>
      <w:ind w:left="283"/>
      <w:spacing w:after="57"/>
    </w:pPr>
  </w:style>
  <w:style w:type="paragraph" w:styleId="757">
    <w:name w:val="toc 9"/>
    <w:basedOn w:val="720"/>
    <w:next w:val="720"/>
    <w:uiPriority w:val="39"/>
    <w:unhideWhenUsed/>
    <w:qFormat/>
    <w:pPr>
      <w:ind w:left="2268"/>
      <w:spacing w:after="57"/>
    </w:pPr>
  </w:style>
  <w:style w:type="paragraph" w:styleId="758">
    <w:name w:val="Body Text 2"/>
    <w:basedOn w:val="720"/>
    <w:uiPriority w:val="0"/>
    <w:qFormat/>
    <w:pPr>
      <w:jc w:val="center"/>
    </w:pPr>
    <w:rPr>
      <w:rFonts w:ascii="仿宋_GB2312" w:eastAsia="仿宋_GB2312"/>
      <w:sz w:val="44"/>
    </w:rPr>
  </w:style>
  <w:style w:type="paragraph" w:styleId="759">
    <w:name w:val="Normal (Web)"/>
    <w:basedOn w:val="720"/>
    <w:uiPriority w:val="99"/>
    <w:semiHidden/>
    <w:unhideWhenUsed/>
    <w:qFormat/>
    <w:pPr>
      <w:jc w:val="left"/>
      <w:spacing w:beforeAutospacing="1" w:afterAutospacing="1"/>
    </w:pPr>
    <w:rPr>
      <w:sz w:val="24"/>
    </w:rPr>
  </w:style>
  <w:style w:type="paragraph" w:styleId="760">
    <w:name w:val="Title"/>
    <w:basedOn w:val="720"/>
    <w:next w:val="720"/>
    <w:link w:val="852"/>
    <w:uiPriority w:val="10"/>
    <w:qFormat/>
    <w:pPr>
      <w:contextualSpacing/>
      <w:spacing w:before="300" w:after="200"/>
    </w:pPr>
    <w:rPr>
      <w:sz w:val="48"/>
      <w:szCs w:val="48"/>
    </w:rPr>
  </w:style>
  <w:style w:type="paragraph" w:styleId="761">
    <w:name w:val="annotation subject"/>
    <w:basedOn w:val="738"/>
    <w:next w:val="762"/>
    <w:uiPriority w:val="0"/>
    <w:qFormat/>
    <w:rPr>
      <w:b/>
      <w:bCs/>
    </w:rPr>
  </w:style>
  <w:style w:type="paragraph" w:styleId="762" w:customStyle="1">
    <w:name w:val="Plain Text1"/>
    <w:basedOn w:val="720"/>
    <w:next w:val="733"/>
    <w:uiPriority w:val="0"/>
    <w:qFormat/>
    <w:pPr>
      <w:ind w:firstLine="3584"/>
      <w:spacing w:line="360" w:lineRule="auto"/>
    </w:pPr>
  </w:style>
  <w:style w:type="paragraph" w:styleId="763">
    <w:name w:val="Body Text First Indent"/>
    <w:basedOn w:val="739"/>
    <w:uiPriority w:val="0"/>
    <w:qFormat/>
    <w:pPr>
      <w:ind w:firstLine="420"/>
    </w:pPr>
    <w:rPr>
      <w:rFonts w:ascii="Verdana" w:hAnsi="Verdana"/>
      <w:szCs w:val="28"/>
      <w:lang w:eastAsia="en-US"/>
    </w:rPr>
  </w:style>
  <w:style w:type="paragraph" w:styleId="764">
    <w:name w:val="Body Text First Indent 2"/>
    <w:basedOn w:val="740"/>
    <w:uiPriority w:val="99"/>
    <w:unhideWhenUsed/>
    <w:qFormat/>
    <w:pPr>
      <w:ind w:firstLine="200"/>
    </w:pPr>
  </w:style>
  <w:style w:type="table" w:styleId="76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Strong"/>
    <w:basedOn w:val="730"/>
    <w:uiPriority w:val="0"/>
    <w:qFormat/>
    <w:rPr>
      <w:b/>
      <w:bCs/>
    </w:rPr>
  </w:style>
  <w:style w:type="character" w:styleId="767">
    <w:name w:val="endnote reference"/>
    <w:uiPriority w:val="99"/>
    <w:semiHidden/>
    <w:unhideWhenUsed/>
    <w:qFormat/>
    <w:rPr>
      <w:vertAlign w:val="superscript"/>
    </w:rPr>
  </w:style>
  <w:style w:type="character" w:styleId="768">
    <w:name w:val="FollowedHyperlink"/>
    <w:basedOn w:val="730"/>
    <w:uiPriority w:val="99"/>
    <w:semiHidden/>
    <w:unhideWhenUsed/>
    <w:qFormat/>
    <w:rPr>
      <w:color w:val="5c5c5c"/>
      <w:u w:val="none"/>
    </w:rPr>
  </w:style>
  <w:style w:type="character" w:styleId="769">
    <w:name w:val="Emphasis"/>
    <w:basedOn w:val="730"/>
    <w:uiPriority w:val="20"/>
    <w:qFormat/>
    <w:rPr>
      <w:b/>
      <w:bCs/>
    </w:rPr>
  </w:style>
  <w:style w:type="character" w:styleId="770">
    <w:name w:val="HTML Definition"/>
    <w:basedOn w:val="730"/>
    <w:uiPriority w:val="99"/>
    <w:semiHidden/>
    <w:unhideWhenUsed/>
    <w:qFormat/>
  </w:style>
  <w:style w:type="character" w:styleId="771">
    <w:name w:val="HTML Typewriter"/>
    <w:basedOn w:val="730"/>
    <w:uiPriority w:val="99"/>
    <w:semiHidden/>
    <w:unhideWhenUsed/>
    <w:qFormat/>
    <w:rPr>
      <w:rFonts w:ascii="monospace" w:hAnsi="monospace" w:eastAsia="monospace" w:cs="monospace"/>
      <w:sz w:val="20"/>
    </w:rPr>
  </w:style>
  <w:style w:type="character" w:styleId="772">
    <w:name w:val="HTML Acronym"/>
    <w:basedOn w:val="730"/>
    <w:uiPriority w:val="99"/>
    <w:semiHidden/>
    <w:unhideWhenUsed/>
    <w:qFormat/>
  </w:style>
  <w:style w:type="character" w:styleId="773">
    <w:name w:val="HTML Variable"/>
    <w:basedOn w:val="730"/>
    <w:uiPriority w:val="99"/>
    <w:semiHidden/>
    <w:unhideWhenUsed/>
    <w:qFormat/>
  </w:style>
  <w:style w:type="character" w:styleId="774">
    <w:name w:val="Hyperlink"/>
    <w:uiPriority w:val="99"/>
    <w:unhideWhenUsed/>
    <w:qFormat/>
    <w:rPr>
      <w:color w:val="0000ff" w:themeColor="hyperlink"/>
      <w:u w:val="single"/>
      <w14:textFill>
        <w14:solidFill>
          <w14:schemeClr w14:val="hlink"/>
        </w14:solidFill>
      </w14:textFill>
    </w:rPr>
  </w:style>
  <w:style w:type="character" w:styleId="775">
    <w:name w:val="HTML Code"/>
    <w:basedOn w:val="730"/>
    <w:uiPriority w:val="99"/>
    <w:semiHidden/>
    <w:unhideWhenUsed/>
    <w:qFormat/>
    <w:rPr>
      <w:rFonts w:hint="default" w:ascii="monospace" w:hAnsi="monospace" w:eastAsia="monospace" w:cs="monospace"/>
      <w:vanish/>
      <w:sz w:val="20"/>
    </w:rPr>
  </w:style>
  <w:style w:type="character" w:styleId="776">
    <w:name w:val="HTML Cite"/>
    <w:basedOn w:val="730"/>
    <w:uiPriority w:val="99"/>
    <w:semiHidden/>
    <w:unhideWhenUsed/>
    <w:qFormat/>
  </w:style>
  <w:style w:type="character" w:styleId="777">
    <w:name w:val="footnote reference"/>
    <w:uiPriority w:val="99"/>
    <w:unhideWhenUsed/>
    <w:qFormat/>
    <w:rPr>
      <w:vertAlign w:val="superscript"/>
    </w:rPr>
  </w:style>
  <w:style w:type="character" w:styleId="778">
    <w:name w:val="HTML Keyboard"/>
    <w:basedOn w:val="730"/>
    <w:uiPriority w:val="99"/>
    <w:semiHidden/>
    <w:unhideWhenUsed/>
    <w:qFormat/>
    <w:rPr>
      <w:rFonts w:hint="default" w:ascii="monospace" w:hAnsi="monospace" w:eastAsia="monospace" w:cs="monospace"/>
      <w:sz w:val="20"/>
    </w:rPr>
  </w:style>
  <w:style w:type="character" w:styleId="779">
    <w:name w:val="HTML Sample"/>
    <w:basedOn w:val="730"/>
    <w:uiPriority w:val="99"/>
    <w:semiHidden/>
    <w:unhideWhenUsed/>
    <w:qFormat/>
    <w:rPr>
      <w:rFonts w:hint="default" w:ascii="monospace" w:hAnsi="monospace" w:eastAsia="monospace" w:cs="monospace"/>
    </w:rPr>
  </w:style>
  <w:style w:type="paragraph" w:styleId="780" w:customStyle="1">
    <w:name w:val="正文文本缩进1"/>
    <w:basedOn w:val="720"/>
    <w:next w:val="781"/>
    <w:link w:val="992"/>
    <w:uiPriority w:val="0"/>
    <w:unhideWhenUsed/>
    <w:qFormat/>
    <w:pPr>
      <w:ind w:firstLine="570"/>
    </w:pPr>
    <w:rPr>
      <w:rFonts w:ascii="宋体" w:eastAsia="宋体"/>
      <w:sz w:val="28"/>
    </w:rPr>
  </w:style>
  <w:style w:type="paragraph" w:styleId="781" w:customStyle="1">
    <w:name w:val="寄信人地址1"/>
    <w:basedOn w:val="720"/>
    <w:uiPriority w:val="99"/>
    <w:unhideWhenUsed/>
    <w:qFormat/>
    <w:rPr>
      <w:rFonts w:ascii="Arial" w:hAnsi="Arial"/>
    </w:rPr>
  </w:style>
  <w:style w:type="paragraph" w:styleId="782" w:customStyle="1">
    <w:name w:val="列出段落1"/>
    <w:basedOn w:val="720"/>
    <w:uiPriority w:val="0"/>
    <w:qFormat/>
    <w:pPr>
      <w:ind w:firstLine="420"/>
    </w:pPr>
    <w:rPr>
      <w:rFonts w:ascii="Calibri" w:hAnsi="Calibri" w:eastAsia="宋体"/>
      <w:sz w:val="21"/>
      <w:szCs w:val="22"/>
    </w:rPr>
  </w:style>
  <w:style w:type="paragraph" w:styleId="783" w:customStyle="1">
    <w:name w:val="Default"/>
    <w:uiPriority w:val="0"/>
    <w:qFormat/>
    <w:pPr>
      <w:widowControl w:val="off"/>
    </w:pPr>
    <w:rPr>
      <w:rFonts w:hint="default" w:ascii="仿宋" w:hAnsi="Times New Roman" w:eastAsia="仿宋" w:cs="仿宋"/>
      <w:color w:val="000000"/>
      <w:sz w:val="24"/>
      <w:szCs w:val="24"/>
    </w:rPr>
  </w:style>
  <w:style w:type="paragraph" w:styleId="784" w:customStyle="1">
    <w:name w:val="正文文本11"/>
    <w:basedOn w:val="720"/>
    <w:next w:val="720"/>
    <w:uiPriority w:val="0"/>
    <w:qFormat/>
    <w:rPr>
      <w:rFonts w:ascii="楷体_GB2312" w:hAnsi="Arial" w:eastAsia="楷体_GB2312"/>
      <w:sz w:val="28"/>
      <w:szCs w:val="20"/>
    </w:rPr>
  </w:style>
  <w:style w:type="table" w:styleId="785" w:customStyle="1">
    <w:name w:val="Plain Table 1"/>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basedOn w:val="7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basedOn w:val="7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2"/>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3"/>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basedOn w:val="7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5 Dark"/>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6 Colorful"/>
    <w:basedOn w:val="7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7 Colorful"/>
    <w:basedOn w:val="7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List Table 1 Light"/>
    <w:basedOn w:val="7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2"/>
    <w:basedOn w:val="7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3"/>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5 Dark"/>
    <w:basedOn w:val="7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6 Colorful"/>
    <w:basedOn w:val="7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List Table 7 Colorful"/>
    <w:basedOn w:val="7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4" w:customStyle="1">
    <w:name w:val="TOC Heading"/>
    <w:uiPriority w:val="39"/>
    <w:unhideWhenUsed/>
    <w:qFormat/>
    <w:rPr>
      <w:rFonts w:hint="default" w:ascii="Times New Roman" w:hAnsi="Times New Roman" w:eastAsia="宋体" w:cs="Times New Roman"/>
    </w:rPr>
  </w:style>
  <w:style w:type="table" w:styleId="805" w:customStyle="1">
    <w:name w:val="无格式表格 11"/>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21"/>
    <w:basedOn w:val="7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31"/>
    <w:basedOn w:val="7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无格式表格 41"/>
    <w:basedOn w:val="7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无格式表格 51"/>
    <w:basedOn w:val="7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网格表 1 浅色1"/>
    <w:basedOn w:val="7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网格表 2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网格表 3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basedOn w:val="7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网格表 5 深色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网格表 6 彩色1"/>
    <w:basedOn w:val="7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网格表 7 彩色1"/>
    <w:basedOn w:val="7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清单表 1 浅色1"/>
    <w:basedOn w:val="73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清单表 21"/>
    <w:basedOn w:val="7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清单表 3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清单表 4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清单表 5 深色1"/>
    <w:basedOn w:val="7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清单表 6 彩色1"/>
    <w:basedOn w:val="73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清单表 7 彩色1"/>
    <w:basedOn w:val="73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4" w:customStyle="1">
    <w:name w:val="TOC 标题1"/>
    <w:uiPriority w:val="39"/>
    <w:unhideWhenUsed/>
    <w:qFormat/>
    <w:rPr>
      <w:rFonts w:hint="default" w:ascii="Times New Roman" w:hAnsi="Times New Roman" w:eastAsia="宋体" w:cs="Times New Roman"/>
    </w:rPr>
  </w:style>
  <w:style w:type="paragraph" w:styleId="825">
    <w:name w:val="List Paragraph"/>
    <w:basedOn w:val="720"/>
    <w:uiPriority w:val="0"/>
    <w:qFormat/>
    <w:pPr>
      <w:ind w:firstLine="420"/>
    </w:pPr>
    <w:rPr>
      <w:rFonts w:ascii="Calibri" w:hAnsi="Calibri" w:eastAsia="宋体"/>
      <w:sz w:val="21"/>
      <w:szCs w:val="22"/>
    </w:rPr>
  </w:style>
  <w:style w:type="character" w:styleId="826" w:customStyle="1">
    <w:name w:val="Heading 2 Char"/>
    <w:basedOn w:val="730"/>
    <w:uiPriority w:val="9"/>
    <w:qFormat/>
    <w:rPr>
      <w:rFonts w:ascii="Arial" w:hAnsi="Arial" w:eastAsia="Arial" w:cs="Arial"/>
      <w:sz w:val="34"/>
    </w:rPr>
  </w:style>
  <w:style w:type="character" w:styleId="827" w:customStyle="1">
    <w:name w:val="Heading 3 Char"/>
    <w:basedOn w:val="730"/>
    <w:uiPriority w:val="9"/>
    <w:qFormat/>
    <w:rPr>
      <w:rFonts w:ascii="Arial" w:hAnsi="Arial" w:eastAsia="Arial" w:cs="Arial"/>
      <w:sz w:val="30"/>
      <w:szCs w:val="30"/>
    </w:rPr>
  </w:style>
  <w:style w:type="character" w:styleId="828" w:customStyle="1">
    <w:name w:val="Heading 4 Char"/>
    <w:basedOn w:val="730"/>
    <w:uiPriority w:val="9"/>
    <w:qFormat/>
    <w:rPr>
      <w:rFonts w:ascii="Arial" w:hAnsi="Arial" w:eastAsia="Arial" w:cs="Arial"/>
      <w:b/>
      <w:bCs/>
      <w:sz w:val="26"/>
      <w:szCs w:val="26"/>
    </w:rPr>
  </w:style>
  <w:style w:type="character" w:styleId="829" w:customStyle="1">
    <w:name w:val="Heading 5 Char"/>
    <w:basedOn w:val="730"/>
    <w:uiPriority w:val="9"/>
    <w:qFormat/>
    <w:rPr>
      <w:rFonts w:ascii="Arial" w:hAnsi="Arial" w:eastAsia="Arial" w:cs="Arial"/>
      <w:b/>
      <w:bCs/>
      <w:sz w:val="24"/>
      <w:szCs w:val="24"/>
    </w:rPr>
  </w:style>
  <w:style w:type="character" w:styleId="830" w:customStyle="1">
    <w:name w:val="Heading 6 Char"/>
    <w:basedOn w:val="730"/>
    <w:uiPriority w:val="9"/>
    <w:qFormat/>
    <w:rPr>
      <w:rFonts w:ascii="Arial" w:hAnsi="Arial" w:eastAsia="Arial" w:cs="Arial"/>
      <w:b/>
      <w:bCs/>
      <w:sz w:val="22"/>
      <w:szCs w:val="22"/>
    </w:rPr>
  </w:style>
  <w:style w:type="character" w:styleId="831" w:customStyle="1">
    <w:name w:val="Heading 7 Char"/>
    <w:basedOn w:val="730"/>
    <w:uiPriority w:val="9"/>
    <w:qFormat/>
    <w:rPr>
      <w:rFonts w:ascii="Arial" w:hAnsi="Arial" w:eastAsia="Arial" w:cs="Arial"/>
      <w:b/>
      <w:bCs/>
      <w:i/>
      <w:iCs/>
      <w:sz w:val="22"/>
      <w:szCs w:val="22"/>
    </w:rPr>
  </w:style>
  <w:style w:type="character" w:styleId="832" w:customStyle="1">
    <w:name w:val="Heading 8 Char"/>
    <w:basedOn w:val="730"/>
    <w:uiPriority w:val="9"/>
    <w:qFormat/>
    <w:rPr>
      <w:rFonts w:ascii="Arial" w:hAnsi="Arial" w:eastAsia="Arial" w:cs="Arial"/>
      <w:i/>
      <w:iCs/>
      <w:sz w:val="22"/>
      <w:szCs w:val="22"/>
    </w:rPr>
  </w:style>
  <w:style w:type="character" w:styleId="833" w:customStyle="1">
    <w:name w:val="Heading 9 Char"/>
    <w:basedOn w:val="730"/>
    <w:uiPriority w:val="9"/>
    <w:qFormat/>
    <w:rPr>
      <w:rFonts w:ascii="Arial" w:hAnsi="Arial" w:eastAsia="Arial" w:cs="Arial"/>
      <w:i/>
      <w:iCs/>
      <w:sz w:val="21"/>
      <w:szCs w:val="21"/>
    </w:rPr>
  </w:style>
  <w:style w:type="character" w:styleId="834" w:customStyle="1">
    <w:name w:val="Title Char"/>
    <w:basedOn w:val="730"/>
    <w:uiPriority w:val="10"/>
    <w:qFormat/>
    <w:rPr>
      <w:sz w:val="48"/>
      <w:szCs w:val="48"/>
    </w:rPr>
  </w:style>
  <w:style w:type="character" w:styleId="835" w:customStyle="1">
    <w:name w:val="Subtitle Char"/>
    <w:basedOn w:val="730"/>
    <w:uiPriority w:val="11"/>
    <w:qFormat/>
    <w:rPr>
      <w:sz w:val="24"/>
      <w:szCs w:val="24"/>
    </w:rPr>
  </w:style>
  <w:style w:type="character" w:styleId="836" w:customStyle="1">
    <w:name w:val="Quote Char"/>
    <w:uiPriority w:val="29"/>
    <w:qFormat/>
    <w:rPr>
      <w:i/>
    </w:rPr>
  </w:style>
  <w:style w:type="character" w:styleId="837" w:customStyle="1">
    <w:name w:val="Intense Quote Char"/>
    <w:uiPriority w:val="30"/>
    <w:qFormat/>
    <w:rPr>
      <w:i/>
    </w:rPr>
  </w:style>
  <w:style w:type="character" w:styleId="838" w:customStyle="1">
    <w:name w:val="Header Char"/>
    <w:basedOn w:val="730"/>
    <w:uiPriority w:val="99"/>
    <w:qFormat/>
  </w:style>
  <w:style w:type="character" w:styleId="839" w:customStyle="1">
    <w:name w:val="Caption Char"/>
    <w:uiPriority w:val="99"/>
    <w:qFormat/>
  </w:style>
  <w:style w:type="character" w:styleId="840" w:customStyle="1">
    <w:name w:val="Footnote Text Char"/>
    <w:uiPriority w:val="99"/>
    <w:qFormat/>
    <w:rPr>
      <w:sz w:val="18"/>
    </w:rPr>
  </w:style>
  <w:style w:type="character" w:styleId="841" w:customStyle="1">
    <w:name w:val="Endnote Text Char"/>
    <w:uiPriority w:val="99"/>
    <w:qFormat/>
    <w:rPr>
      <w:sz w:val="20"/>
    </w:rPr>
  </w:style>
  <w:style w:type="paragraph" w:styleId="842" w:customStyle="1">
    <w:name w:val="TOC 标题111"/>
    <w:uiPriority w:val="39"/>
    <w:unhideWhenUsed/>
    <w:qFormat/>
    <w:rPr>
      <w:rFonts w:hint="default" w:ascii="Calibri" w:hAnsi="Calibri" w:eastAsia="宋体" w:cs="Calibri"/>
    </w:rPr>
  </w:style>
  <w:style w:type="character" w:styleId="843" w:customStyle="1">
    <w:name w:val="Heading 1 Char"/>
    <w:uiPriority w:val="9"/>
    <w:qFormat/>
    <w:rPr>
      <w:rFonts w:ascii="Arial" w:hAnsi="Arial" w:eastAsia="Arial" w:cs="Arial"/>
      <w:sz w:val="40"/>
      <w:szCs w:val="40"/>
    </w:rPr>
  </w:style>
  <w:style w:type="character" w:styleId="844" w:customStyle="1">
    <w:name w:val="标题 2 字符"/>
    <w:link w:val="722"/>
    <w:uiPriority w:val="9"/>
    <w:qFormat/>
    <w:rPr>
      <w:rFonts w:ascii="Arial" w:hAnsi="Arial" w:eastAsia="Arial" w:cs="Arial"/>
      <w:sz w:val="34"/>
    </w:rPr>
  </w:style>
  <w:style w:type="character" w:styleId="845" w:customStyle="1">
    <w:name w:val="标题 3 字符"/>
    <w:link w:val="723"/>
    <w:uiPriority w:val="9"/>
    <w:qFormat/>
    <w:rPr>
      <w:rFonts w:ascii="Arial" w:hAnsi="Arial" w:eastAsia="Arial" w:cs="Arial"/>
      <w:sz w:val="30"/>
      <w:szCs w:val="30"/>
    </w:rPr>
  </w:style>
  <w:style w:type="character" w:styleId="846" w:customStyle="1">
    <w:name w:val="标题 4 字符"/>
    <w:link w:val="724"/>
    <w:uiPriority w:val="9"/>
    <w:qFormat/>
    <w:rPr>
      <w:rFonts w:ascii="Arial" w:hAnsi="Arial" w:eastAsia="Arial" w:cs="Arial"/>
      <w:b/>
      <w:bCs/>
      <w:sz w:val="26"/>
      <w:szCs w:val="26"/>
    </w:rPr>
  </w:style>
  <w:style w:type="character" w:styleId="847" w:customStyle="1">
    <w:name w:val="标题 5 字符"/>
    <w:link w:val="725"/>
    <w:uiPriority w:val="9"/>
    <w:qFormat/>
    <w:rPr>
      <w:rFonts w:ascii="Arial" w:hAnsi="Arial" w:eastAsia="Arial" w:cs="Arial"/>
      <w:b/>
      <w:bCs/>
      <w:sz w:val="24"/>
      <w:szCs w:val="24"/>
    </w:rPr>
  </w:style>
  <w:style w:type="character" w:styleId="848" w:customStyle="1">
    <w:name w:val="标题 6 字符"/>
    <w:link w:val="726"/>
    <w:uiPriority w:val="9"/>
    <w:qFormat/>
    <w:rPr>
      <w:rFonts w:ascii="Arial" w:hAnsi="Arial" w:eastAsia="Arial" w:cs="Arial"/>
      <w:b/>
      <w:bCs/>
      <w:sz w:val="22"/>
      <w:szCs w:val="22"/>
    </w:rPr>
  </w:style>
  <w:style w:type="character" w:styleId="849" w:customStyle="1">
    <w:name w:val="标题 7 字符"/>
    <w:link w:val="727"/>
    <w:uiPriority w:val="9"/>
    <w:qFormat/>
    <w:rPr>
      <w:rFonts w:ascii="Arial" w:hAnsi="Arial" w:eastAsia="Arial" w:cs="Arial"/>
      <w:b/>
      <w:bCs/>
      <w:i/>
      <w:iCs/>
      <w:sz w:val="22"/>
      <w:szCs w:val="22"/>
    </w:rPr>
  </w:style>
  <w:style w:type="character" w:styleId="850" w:customStyle="1">
    <w:name w:val="标题 8 字符"/>
    <w:link w:val="728"/>
    <w:uiPriority w:val="9"/>
    <w:qFormat/>
    <w:rPr>
      <w:rFonts w:ascii="Arial" w:hAnsi="Arial" w:eastAsia="Arial" w:cs="Arial"/>
      <w:i/>
      <w:iCs/>
      <w:sz w:val="22"/>
      <w:szCs w:val="22"/>
    </w:rPr>
  </w:style>
  <w:style w:type="character" w:styleId="851" w:customStyle="1">
    <w:name w:val="标题 9 字符"/>
    <w:link w:val="729"/>
    <w:uiPriority w:val="9"/>
    <w:qFormat/>
    <w:rPr>
      <w:rFonts w:ascii="Arial" w:hAnsi="Arial" w:eastAsia="Arial" w:cs="Arial"/>
      <w:i/>
      <w:iCs/>
      <w:sz w:val="21"/>
      <w:szCs w:val="21"/>
    </w:rPr>
  </w:style>
  <w:style w:type="character" w:styleId="852" w:customStyle="1">
    <w:name w:val="标题 字符"/>
    <w:link w:val="760"/>
    <w:uiPriority w:val="10"/>
    <w:qFormat/>
    <w:rPr>
      <w:sz w:val="48"/>
      <w:szCs w:val="48"/>
    </w:rPr>
  </w:style>
  <w:style w:type="character" w:styleId="853" w:customStyle="1">
    <w:name w:val="副标题 字符"/>
    <w:link w:val="752"/>
    <w:uiPriority w:val="11"/>
    <w:qFormat/>
    <w:rPr>
      <w:sz w:val="24"/>
      <w:szCs w:val="24"/>
    </w:rPr>
  </w:style>
  <w:style w:type="paragraph" w:styleId="854">
    <w:name w:val="Quote"/>
    <w:basedOn w:val="720"/>
    <w:next w:val="720"/>
    <w:link w:val="855"/>
    <w:uiPriority w:val="29"/>
    <w:qFormat/>
    <w:pPr>
      <w:ind w:left="720" w:right="720"/>
    </w:pPr>
    <w:rPr>
      <w:i/>
    </w:rPr>
  </w:style>
  <w:style w:type="character" w:styleId="855" w:customStyle="1">
    <w:name w:val="引用 字符"/>
    <w:link w:val="854"/>
    <w:uiPriority w:val="29"/>
    <w:qFormat/>
    <w:rPr>
      <w:i/>
    </w:rPr>
  </w:style>
  <w:style w:type="paragraph" w:styleId="856">
    <w:name w:val="Intense Quote"/>
    <w:basedOn w:val="720"/>
    <w:next w:val="720"/>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字符"/>
    <w:link w:val="856"/>
    <w:uiPriority w:val="30"/>
    <w:qFormat/>
    <w:rPr>
      <w:i/>
    </w:rPr>
  </w:style>
  <w:style w:type="character" w:styleId="858" w:customStyle="1">
    <w:name w:val="页眉 字符"/>
    <w:link w:val="749"/>
    <w:uiPriority w:val="99"/>
    <w:qFormat/>
  </w:style>
  <w:style w:type="character" w:styleId="859" w:customStyle="1">
    <w:name w:val="Footer Char"/>
    <w:uiPriority w:val="99"/>
    <w:qFormat/>
  </w:style>
  <w:style w:type="character" w:styleId="860" w:customStyle="1">
    <w:name w:val="页脚 字符"/>
    <w:link w:val="747"/>
    <w:uiPriority w:val="99"/>
    <w:qFormat/>
  </w:style>
  <w:style w:type="table" w:styleId="86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7" w:customStyle="1">
    <w:name w:val="脚注文本 字符"/>
    <w:link w:val="753"/>
    <w:uiPriority w:val="99"/>
    <w:qFormat/>
    <w:rPr>
      <w:sz w:val="18"/>
    </w:rPr>
  </w:style>
  <w:style w:type="character" w:styleId="968" w:customStyle="1">
    <w:name w:val="尾注文本 字符"/>
    <w:link w:val="746"/>
    <w:uiPriority w:val="99"/>
    <w:qFormat/>
    <w:rPr>
      <w:sz w:val="20"/>
    </w:rPr>
  </w:style>
  <w:style w:type="paragraph" w:styleId="969" w:customStyle="1">
    <w:name w:val="TOC 标题11"/>
    <w:uiPriority w:val="39"/>
    <w:unhideWhenUsed/>
    <w:qFormat/>
    <w:rPr>
      <w:rFonts w:hint="default" w:ascii="Times New Roman" w:hAnsi="Times New Roman" w:eastAsia="宋体" w:cs="Times New Roman"/>
    </w:rPr>
  </w:style>
  <w:style w:type="paragraph" w:styleId="970" w:customStyle="1">
    <w:name w:val="标题 11"/>
    <w:basedOn w:val="720"/>
    <w:next w:val="720"/>
    <w:uiPriority w:val="0"/>
    <w:qFormat/>
    <w:pPr>
      <w:keepLines/>
      <w:keepNext/>
      <w:spacing w:before="340" w:after="330" w:line="578" w:lineRule="auto"/>
      <w:outlineLvl w:val="0"/>
    </w:pPr>
    <w:rPr>
      <w:b/>
      <w:sz w:val="44"/>
    </w:rPr>
  </w:style>
  <w:style w:type="paragraph" w:styleId="971" w:customStyle="1">
    <w:name w:val="标题 21"/>
    <w:basedOn w:val="720"/>
    <w:next w:val="720"/>
    <w:link w:val="979"/>
    <w:uiPriority w:val="0"/>
    <w:qFormat/>
    <w:pPr>
      <w:keepLines/>
      <w:keepNext/>
      <w:spacing w:before="260" w:after="260" w:line="416" w:lineRule="auto"/>
      <w:outlineLvl w:val="1"/>
    </w:pPr>
    <w:rPr>
      <w:rFonts w:ascii="Cambria" w:hAnsi="Cambria" w:eastAsia="宋体"/>
      <w:b/>
      <w:bCs/>
      <w:sz w:val="32"/>
      <w:szCs w:val="32"/>
    </w:rPr>
  </w:style>
  <w:style w:type="paragraph" w:styleId="972" w:customStyle="1">
    <w:name w:val="标题 31"/>
    <w:basedOn w:val="720"/>
    <w:next w:val="720"/>
    <w:link w:val="980"/>
    <w:uiPriority w:val="0"/>
    <w:qFormat/>
    <w:pPr>
      <w:keepLines/>
      <w:keepNext/>
      <w:spacing w:before="260" w:after="260" w:line="416" w:lineRule="auto"/>
      <w:outlineLvl w:val="2"/>
    </w:pPr>
    <w:rPr>
      <w:b/>
      <w:bCs/>
      <w:sz w:val="32"/>
      <w:szCs w:val="32"/>
    </w:rPr>
  </w:style>
  <w:style w:type="paragraph" w:styleId="973" w:customStyle="1">
    <w:name w:val="标题 41"/>
    <w:basedOn w:val="720"/>
    <w:next w:val="720"/>
    <w:link w:val="981"/>
    <w:uiPriority w:val="0"/>
    <w:qFormat/>
    <w:pPr>
      <w:keepLines/>
      <w:keepNext/>
      <w:spacing w:before="280" w:after="290" w:line="376" w:lineRule="auto"/>
      <w:outlineLvl w:val="3"/>
    </w:pPr>
    <w:rPr>
      <w:rFonts w:ascii="Cambria" w:hAnsi="Cambria" w:eastAsia="宋体"/>
      <w:b/>
      <w:bCs/>
      <w:sz w:val="28"/>
      <w:szCs w:val="28"/>
    </w:rPr>
  </w:style>
  <w:style w:type="paragraph" w:styleId="974" w:customStyle="1">
    <w:name w:val="标题 51"/>
    <w:basedOn w:val="720"/>
    <w:next w:val="720"/>
    <w:link w:val="982"/>
    <w:uiPriority w:val="0"/>
    <w:qFormat/>
    <w:pPr>
      <w:jc w:val="center"/>
      <w:keepLines/>
      <w:keepNext/>
      <w:outlineLvl w:val="4"/>
    </w:pPr>
    <w:rPr>
      <w:rFonts w:eastAsia="宋体"/>
      <w:b/>
      <w:bCs/>
      <w:sz w:val="28"/>
      <w:szCs w:val="28"/>
    </w:rPr>
  </w:style>
  <w:style w:type="character" w:styleId="975" w:customStyle="1">
    <w:name w:val="默认段落字体1"/>
    <w:uiPriority w:val="1"/>
    <w:unhideWhenUsed/>
    <w:qFormat/>
  </w:style>
  <w:style w:type="table" w:styleId="976" w:customStyle="1">
    <w:name w:val="普通表格1"/>
    <w:uiPriority w:val="99"/>
    <w:unhideWhenUsed/>
    <w:qFormat/>
    <w:tblPr>
      <w:tblCellMar>
        <w:left w:w="0" w:type="dxa"/>
        <w:top w:w="0" w:type="dxa"/>
        <w:right w:w="0" w:type="dxa"/>
        <w:bottom w:w="0" w:type="dxa"/>
      </w:tblCellMar>
    </w:tblPr>
  </w:style>
  <w:style w:type="paragraph" w:styleId="977" w:customStyle="1">
    <w:name w:val="DAS正文"/>
    <w:basedOn w:val="720"/>
    <w:uiPriority w:val="0"/>
    <w:qFormat/>
    <w:pPr>
      <w:ind w:right="181" w:firstLine="480"/>
      <w:spacing w:line="360" w:lineRule="auto"/>
    </w:pPr>
    <w:rPr>
      <w:rFonts w:ascii="Verdana" w:hAnsi="Verdana"/>
      <w:sz w:val="24"/>
      <w:szCs w:val="24"/>
    </w:rPr>
  </w:style>
  <w:style w:type="character" w:styleId="978" w:customStyle="1">
    <w:name w:val="标题 1 字符"/>
    <w:basedOn w:val="730"/>
    <w:link w:val="721"/>
    <w:uiPriority w:val="0"/>
    <w:qFormat/>
    <w:rPr>
      <w:rFonts w:eastAsia="楷体_GB2312"/>
      <w:b/>
      <w:sz w:val="44"/>
    </w:rPr>
  </w:style>
  <w:style w:type="character" w:styleId="979" w:customStyle="1">
    <w:name w:val="标题 2 Char"/>
    <w:link w:val="971"/>
    <w:uiPriority w:val="0"/>
    <w:qFormat/>
    <w:rPr>
      <w:rFonts w:ascii="Cambria" w:hAnsi="Cambria" w:eastAsia="宋体" w:cs="Times New Roman"/>
      <w:b/>
      <w:bCs/>
      <w:sz w:val="32"/>
      <w:szCs w:val="32"/>
    </w:rPr>
  </w:style>
  <w:style w:type="character" w:styleId="980" w:customStyle="1">
    <w:name w:val="标题 3 Char"/>
    <w:link w:val="972"/>
    <w:uiPriority w:val="0"/>
    <w:qFormat/>
    <w:rPr>
      <w:rFonts w:eastAsia="楷体_GB2312"/>
      <w:b/>
      <w:bCs/>
      <w:sz w:val="32"/>
      <w:szCs w:val="32"/>
    </w:rPr>
  </w:style>
  <w:style w:type="character" w:styleId="981" w:customStyle="1">
    <w:name w:val="标题 4 Char"/>
    <w:link w:val="973"/>
    <w:uiPriority w:val="0"/>
    <w:qFormat/>
    <w:rPr>
      <w:rFonts w:ascii="Cambria" w:hAnsi="Cambria" w:eastAsia="宋体" w:cs="Times New Roman"/>
      <w:b/>
      <w:bCs/>
      <w:sz w:val="28"/>
      <w:szCs w:val="28"/>
    </w:rPr>
  </w:style>
  <w:style w:type="character" w:styleId="982" w:customStyle="1">
    <w:name w:val="标题 5 Char"/>
    <w:link w:val="974"/>
    <w:uiPriority w:val="0"/>
    <w:qFormat/>
    <w:rPr>
      <w:b/>
      <w:bCs/>
      <w:sz w:val="28"/>
      <w:szCs w:val="28"/>
    </w:rPr>
  </w:style>
  <w:style w:type="paragraph" w:styleId="983" w:customStyle="1">
    <w:name w:val="正文缩进1"/>
    <w:basedOn w:val="720"/>
    <w:link w:val="984"/>
    <w:uiPriority w:val="0"/>
    <w:unhideWhenUsed/>
    <w:qFormat/>
    <w:pPr>
      <w:ind w:firstLine="420"/>
      <w:jc w:val="left"/>
    </w:pPr>
    <w:rPr>
      <w:sz w:val="24"/>
    </w:rPr>
  </w:style>
  <w:style w:type="character" w:styleId="984" w:customStyle="1">
    <w:name w:val="正文缩进 Char"/>
    <w:link w:val="983"/>
    <w:uiPriority w:val="0"/>
    <w:qFormat/>
    <w:rPr>
      <w:rFonts w:eastAsia="楷体_GB2312"/>
      <w:sz w:val="24"/>
    </w:rPr>
  </w:style>
  <w:style w:type="paragraph" w:styleId="985" w:customStyle="1">
    <w:name w:val="文档结构图1"/>
    <w:basedOn w:val="720"/>
    <w:link w:val="986"/>
    <w:uiPriority w:val="0"/>
    <w:unhideWhenUsed/>
    <w:qFormat/>
    <w:pPr>
      <w:shd w:val="clear" w:color="auto" w:fill="000080"/>
    </w:pPr>
    <w:rPr>
      <w:rFonts w:eastAsia="宋体"/>
      <w:sz w:val="21"/>
      <w:szCs w:val="24"/>
    </w:rPr>
  </w:style>
  <w:style w:type="character" w:styleId="986" w:customStyle="1">
    <w:name w:val="文档结构图 Char"/>
    <w:link w:val="985"/>
    <w:uiPriority w:val="0"/>
    <w:qFormat/>
    <w:rPr>
      <w:sz w:val="21"/>
      <w:szCs w:val="24"/>
      <w:shd w:val="clear" w:color="auto" w:fill="000080"/>
    </w:rPr>
  </w:style>
  <w:style w:type="paragraph" w:styleId="987" w:customStyle="1">
    <w:name w:val="批注文字1"/>
    <w:basedOn w:val="720"/>
    <w:link w:val="988"/>
    <w:uiPriority w:val="0"/>
    <w:qFormat/>
    <w:pPr>
      <w:jc w:val="left"/>
    </w:pPr>
  </w:style>
  <w:style w:type="character" w:styleId="988" w:customStyle="1">
    <w:name w:val="批注文字 Char"/>
    <w:link w:val="987"/>
    <w:uiPriority w:val="0"/>
    <w:qFormat/>
    <w:rPr>
      <w:rFonts w:eastAsia="楷体_GB2312"/>
      <w:sz w:val="26"/>
    </w:rPr>
  </w:style>
  <w:style w:type="paragraph" w:styleId="989" w:customStyle="1">
    <w:name w:val="正文文本 31"/>
    <w:basedOn w:val="720"/>
    <w:link w:val="990"/>
    <w:uiPriority w:val="0"/>
    <w:unhideWhenUsed/>
    <w:qFormat/>
    <w:pPr>
      <w:jc w:val="center"/>
    </w:pPr>
    <w:rPr>
      <w:rFonts w:ascii="宋体" w:hAnsi="宋体"/>
    </w:rPr>
  </w:style>
  <w:style w:type="character" w:styleId="990" w:customStyle="1">
    <w:name w:val="正文文本 3 Char"/>
    <w:link w:val="989"/>
    <w:uiPriority w:val="0"/>
    <w:qFormat/>
    <w:rPr>
      <w:rFonts w:ascii="宋体" w:hAnsi="宋体" w:eastAsia="楷体_GB2312"/>
      <w:sz w:val="26"/>
    </w:rPr>
  </w:style>
  <w:style w:type="character" w:styleId="991" w:customStyle="1">
    <w:name w:val="正文文本 Char1"/>
    <w:link w:val="732"/>
    <w:uiPriority w:val="0"/>
    <w:qFormat/>
    <w:rPr>
      <w:rFonts w:ascii="楷体_GB2312" w:eastAsia="楷体_GB2312"/>
      <w:b/>
      <w:bCs/>
      <w:sz w:val="28"/>
    </w:rPr>
  </w:style>
  <w:style w:type="character" w:styleId="992" w:customStyle="1">
    <w:name w:val="正文文本缩进 Char"/>
    <w:link w:val="780"/>
    <w:uiPriority w:val="0"/>
    <w:qFormat/>
    <w:rPr>
      <w:rFonts w:ascii="宋体"/>
      <w:sz w:val="28"/>
    </w:rPr>
  </w:style>
  <w:style w:type="paragraph" w:styleId="993" w:customStyle="1">
    <w:name w:val="目录 31"/>
    <w:basedOn w:val="720"/>
    <w:next w:val="720"/>
    <w:uiPriority w:val="0"/>
    <w:qFormat/>
    <w:pPr>
      <w:ind w:left="359"/>
      <w:tabs>
        <w:tab w:val="right" w:pos="8302" w:leader="dot"/>
      </w:tabs>
    </w:pPr>
    <w:rPr>
      <w:rFonts w:eastAsia="宋体"/>
      <w:sz w:val="21"/>
      <w:szCs w:val="24"/>
    </w:rPr>
  </w:style>
  <w:style w:type="paragraph" w:styleId="994" w:customStyle="1">
    <w:name w:val="纯文本1111"/>
    <w:basedOn w:val="720"/>
    <w:next w:val="983"/>
    <w:link w:val="996"/>
    <w:uiPriority w:val="0"/>
    <w:unhideWhenUsed/>
    <w:qFormat/>
    <w:rPr>
      <w:rFonts w:ascii="宋体" w:hAnsi="Courier New"/>
    </w:rPr>
  </w:style>
  <w:style w:type="paragraph" w:styleId="995" w:customStyle="1">
    <w:name w:val="正文缩进11"/>
    <w:basedOn w:val="720"/>
    <w:uiPriority w:val="0"/>
    <w:unhideWhenUsed/>
    <w:qFormat/>
    <w:pPr>
      <w:ind w:firstLine="420"/>
      <w:jc w:val="left"/>
    </w:pPr>
    <w:rPr>
      <w:sz w:val="24"/>
    </w:rPr>
  </w:style>
  <w:style w:type="character" w:styleId="996" w:customStyle="1">
    <w:name w:val="纯文本 Char"/>
    <w:link w:val="994"/>
    <w:uiPriority w:val="0"/>
    <w:qFormat/>
    <w:rPr>
      <w:rFonts w:ascii="宋体" w:hAnsi="Courier New" w:eastAsia="楷体_GB2312"/>
      <w:sz w:val="26"/>
    </w:rPr>
  </w:style>
  <w:style w:type="paragraph" w:styleId="997" w:customStyle="1">
    <w:name w:val="日期1"/>
    <w:basedOn w:val="720"/>
    <w:next w:val="720"/>
    <w:link w:val="998"/>
    <w:uiPriority w:val="0"/>
    <w:unhideWhenUsed/>
    <w:qFormat/>
    <w:rPr>
      <w:rFonts w:ascii="宋体" w:hAnsi="宋体"/>
      <w:sz w:val="24"/>
    </w:rPr>
  </w:style>
  <w:style w:type="character" w:styleId="998" w:customStyle="1">
    <w:name w:val="日期 Char"/>
    <w:link w:val="997"/>
    <w:uiPriority w:val="0"/>
    <w:qFormat/>
    <w:rPr>
      <w:rFonts w:ascii="宋体" w:hAnsi="宋体" w:eastAsia="楷体_GB2312"/>
      <w:sz w:val="24"/>
    </w:rPr>
  </w:style>
  <w:style w:type="paragraph" w:styleId="999" w:customStyle="1">
    <w:name w:val="正文文本缩进 21"/>
    <w:basedOn w:val="720"/>
    <w:link w:val="1000"/>
    <w:uiPriority w:val="0"/>
    <w:unhideWhenUsed/>
    <w:qFormat/>
    <w:pPr>
      <w:ind w:left="420"/>
      <w:spacing w:after="120" w:line="480" w:lineRule="auto"/>
    </w:pPr>
  </w:style>
  <w:style w:type="character" w:styleId="1000" w:customStyle="1">
    <w:name w:val="正文文本缩进 2 Char"/>
    <w:link w:val="999"/>
    <w:uiPriority w:val="0"/>
    <w:qFormat/>
    <w:rPr>
      <w:rFonts w:eastAsia="楷体_GB2312"/>
      <w:sz w:val="26"/>
    </w:rPr>
  </w:style>
  <w:style w:type="paragraph" w:styleId="1001" w:customStyle="1">
    <w:name w:val="尾注文本1"/>
    <w:basedOn w:val="720"/>
    <w:link w:val="1002"/>
    <w:uiPriority w:val="0"/>
    <w:unhideWhenUsed/>
    <w:qFormat/>
    <w:pPr>
      <w:jc w:val="left"/>
    </w:pPr>
    <w:rPr>
      <w:rFonts w:ascii="宋体" w:hAnsi="宋体" w:eastAsia="宋体"/>
      <w:sz w:val="21"/>
      <w:szCs w:val="24"/>
    </w:rPr>
  </w:style>
  <w:style w:type="character" w:styleId="1002" w:customStyle="1">
    <w:name w:val="尾注文本 Char"/>
    <w:link w:val="1001"/>
    <w:uiPriority w:val="0"/>
    <w:qFormat/>
    <w:rPr>
      <w:rFonts w:ascii="宋体" w:hAnsi="宋体"/>
      <w:sz w:val="21"/>
      <w:szCs w:val="24"/>
    </w:rPr>
  </w:style>
  <w:style w:type="paragraph" w:styleId="1003" w:customStyle="1">
    <w:name w:val="批注框文本1"/>
    <w:basedOn w:val="720"/>
    <w:link w:val="1004"/>
    <w:uiPriority w:val="0"/>
    <w:qFormat/>
    <w:rPr>
      <w:sz w:val="18"/>
      <w:szCs w:val="18"/>
    </w:rPr>
  </w:style>
  <w:style w:type="character" w:styleId="1004" w:customStyle="1">
    <w:name w:val="批注框文本 Char"/>
    <w:link w:val="1003"/>
    <w:uiPriority w:val="0"/>
    <w:qFormat/>
    <w:rPr>
      <w:rFonts w:eastAsia="楷体_GB2312"/>
      <w:sz w:val="18"/>
      <w:szCs w:val="18"/>
    </w:rPr>
  </w:style>
  <w:style w:type="paragraph" w:styleId="1005" w:customStyle="1">
    <w:name w:val="页脚1"/>
    <w:basedOn w:val="720"/>
    <w:link w:val="1006"/>
    <w:uiPriority w:val="0"/>
    <w:unhideWhenUsed/>
    <w:qFormat/>
    <w:pPr>
      <w:jc w:val="left"/>
      <w:tabs>
        <w:tab w:val="center" w:pos="4153" w:leader="none"/>
        <w:tab w:val="right" w:pos="8306" w:leader="none"/>
      </w:tabs>
    </w:pPr>
    <w:rPr>
      <w:sz w:val="18"/>
    </w:rPr>
  </w:style>
  <w:style w:type="character" w:styleId="1006" w:customStyle="1">
    <w:name w:val="页脚 Char"/>
    <w:link w:val="1005"/>
    <w:uiPriority w:val="0"/>
    <w:qFormat/>
    <w:rPr>
      <w:rFonts w:eastAsia="楷体_GB2312"/>
      <w:sz w:val="18"/>
    </w:rPr>
  </w:style>
  <w:style w:type="paragraph" w:styleId="1007" w:customStyle="1">
    <w:name w:val="页眉1"/>
    <w:basedOn w:val="720"/>
    <w:link w:val="1008"/>
    <w:uiPriority w:val="0"/>
    <w:unhideWhenUsed/>
    <w:qFormat/>
    <w:pPr>
      <w:jc w:val="center"/>
      <w:tabs>
        <w:tab w:val="center" w:pos="4153" w:leader="none"/>
        <w:tab w:val="right" w:pos="8306" w:leader="none"/>
      </w:tabs>
      <w:pBdr>
        <w:bottom w:val="single" w:color="000000" w:sz="6" w:space="1"/>
      </w:pBdr>
    </w:pPr>
    <w:rPr>
      <w:sz w:val="18"/>
    </w:rPr>
  </w:style>
  <w:style w:type="character" w:styleId="1008" w:customStyle="1">
    <w:name w:val="页眉 Char"/>
    <w:link w:val="1007"/>
    <w:uiPriority w:val="0"/>
    <w:qFormat/>
    <w:rPr>
      <w:rFonts w:eastAsia="楷体_GB2312"/>
      <w:sz w:val="18"/>
    </w:rPr>
  </w:style>
  <w:style w:type="paragraph" w:styleId="1009" w:customStyle="1">
    <w:name w:val="目录 11"/>
    <w:basedOn w:val="720"/>
    <w:next w:val="720"/>
    <w:uiPriority w:val="0"/>
    <w:unhideWhenUsed/>
    <w:qFormat/>
    <w:pPr>
      <w:jc w:val="left"/>
    </w:pPr>
    <w:rPr>
      <w:sz w:val="24"/>
    </w:rPr>
  </w:style>
  <w:style w:type="paragraph" w:styleId="1010" w:customStyle="1">
    <w:name w:val="副标题1"/>
    <w:basedOn w:val="720"/>
    <w:link w:val="1011"/>
    <w:uiPriority w:val="0"/>
    <w:qFormat/>
    <w:pPr>
      <w:jc w:val="center"/>
      <w:spacing w:before="240" w:after="60" w:line="312" w:lineRule="auto"/>
      <w:outlineLvl w:val="1"/>
    </w:pPr>
    <w:rPr>
      <w:rFonts w:ascii="Arial" w:hAnsi="Arial" w:eastAsia="宋体"/>
      <w:b/>
      <w:bCs/>
      <w:sz w:val="32"/>
      <w:szCs w:val="32"/>
    </w:rPr>
  </w:style>
  <w:style w:type="character" w:styleId="1011" w:customStyle="1">
    <w:name w:val="副标题 Char"/>
    <w:link w:val="1010"/>
    <w:uiPriority w:val="0"/>
    <w:qFormat/>
    <w:rPr>
      <w:rFonts w:ascii="Arial" w:hAnsi="Arial" w:cs="Arial"/>
      <w:b/>
      <w:bCs/>
      <w:sz w:val="32"/>
      <w:szCs w:val="32"/>
    </w:rPr>
  </w:style>
  <w:style w:type="paragraph" w:styleId="1012" w:customStyle="1">
    <w:name w:val="目录 21"/>
    <w:basedOn w:val="720"/>
    <w:next w:val="720"/>
    <w:uiPriority w:val="0"/>
    <w:unhideWhenUsed/>
    <w:qFormat/>
    <w:pPr>
      <w:ind w:left="420"/>
    </w:pPr>
  </w:style>
  <w:style w:type="paragraph" w:styleId="1013" w:customStyle="1">
    <w:name w:val="目录 91"/>
    <w:basedOn w:val="720"/>
    <w:next w:val="720"/>
    <w:uiPriority w:val="0"/>
    <w:semiHidden/>
    <w:qFormat/>
    <w:pPr>
      <w:ind w:left="3360"/>
    </w:pPr>
  </w:style>
  <w:style w:type="paragraph" w:styleId="1014" w:customStyle="1">
    <w:name w:val="普通(网站)1"/>
    <w:basedOn w:val="720"/>
    <w:uiPriority w:val="0"/>
    <w:unhideWhenUsed/>
    <w:qFormat/>
    <w:pPr>
      <w:jc w:val="left"/>
      <w:spacing w:before="100" w:beforeAutospacing="1" w:after="100" w:afterAutospacing="1"/>
      <w:widowControl/>
    </w:pPr>
    <w:rPr>
      <w:rFonts w:ascii="宋体" w:hAnsi="宋体" w:cs="宋体"/>
      <w:sz w:val="24"/>
    </w:rPr>
  </w:style>
  <w:style w:type="paragraph" w:styleId="1015" w:customStyle="1">
    <w:name w:val="索引 11"/>
    <w:basedOn w:val="720"/>
    <w:next w:val="720"/>
    <w:uiPriority w:val="0"/>
    <w:unhideWhenUsed/>
    <w:qFormat/>
    <w:pPr>
      <w:jc w:val="center"/>
      <w:spacing w:line="220" w:lineRule="exact"/>
    </w:pPr>
    <w:rPr>
      <w:rFonts w:ascii="仿宋_GB2312" w:eastAsia="仿宋_GB2312"/>
      <w:szCs w:val="21"/>
    </w:rPr>
  </w:style>
  <w:style w:type="paragraph" w:styleId="1016" w:customStyle="1">
    <w:name w:val="标题1"/>
    <w:basedOn w:val="720"/>
    <w:link w:val="1017"/>
    <w:uiPriority w:val="10"/>
    <w:qFormat/>
    <w:pPr>
      <w:jc w:val="center"/>
      <w:spacing w:before="240" w:after="60"/>
      <w:outlineLvl w:val="0"/>
    </w:pPr>
    <w:rPr>
      <w:rFonts w:ascii="Arial" w:hAnsi="Arial" w:eastAsia="宋体"/>
      <w:b/>
      <w:bCs/>
      <w:sz w:val="32"/>
      <w:szCs w:val="32"/>
    </w:rPr>
  </w:style>
  <w:style w:type="character" w:styleId="1017" w:customStyle="1">
    <w:name w:val="标题 Char"/>
    <w:link w:val="1016"/>
    <w:uiPriority w:val="10"/>
    <w:qFormat/>
    <w:rPr>
      <w:rFonts w:ascii="Arial" w:hAnsi="Arial"/>
      <w:b/>
      <w:bCs/>
      <w:sz w:val="32"/>
      <w:szCs w:val="32"/>
    </w:rPr>
  </w:style>
  <w:style w:type="paragraph" w:styleId="1018" w:customStyle="1">
    <w:name w:val="批注主题1"/>
    <w:basedOn w:val="987"/>
    <w:next w:val="987"/>
    <w:link w:val="1019"/>
    <w:uiPriority w:val="99"/>
    <w:qFormat/>
    <w:rPr>
      <w:b/>
      <w:bCs/>
    </w:rPr>
  </w:style>
  <w:style w:type="character" w:styleId="1019" w:customStyle="1">
    <w:name w:val="批注主题 Char"/>
    <w:link w:val="1018"/>
    <w:uiPriority w:val="99"/>
    <w:qFormat/>
    <w:rPr>
      <w:b/>
      <w:bCs/>
    </w:rPr>
  </w:style>
  <w:style w:type="paragraph" w:styleId="1020" w:customStyle="1">
    <w:name w:val="正文首行缩进1"/>
    <w:basedOn w:val="732"/>
    <w:link w:val="1021"/>
    <w:uiPriority w:val="0"/>
    <w:unhideWhenUsed/>
    <w:qFormat/>
    <w:pPr>
      <w:ind w:firstLine="420"/>
      <w:spacing w:after="120"/>
    </w:pPr>
    <w:rPr>
      <w:rFonts w:ascii="Times New Roman" w:eastAsia="宋体"/>
      <w:b w:val="0"/>
      <w:bCs w:val="0"/>
      <w:sz w:val="21"/>
      <w:szCs w:val="24"/>
    </w:rPr>
  </w:style>
  <w:style w:type="character" w:styleId="1021" w:customStyle="1">
    <w:name w:val="正文首行缩进 Char"/>
    <w:link w:val="1020"/>
    <w:uiPriority w:val="0"/>
    <w:qFormat/>
  </w:style>
  <w:style w:type="character" w:styleId="1022" w:customStyle="1">
    <w:name w:val="正文文本 Char"/>
    <w:uiPriority w:val="0"/>
    <w:qFormat/>
    <w:rPr>
      <w:sz w:val="21"/>
      <w:szCs w:val="24"/>
    </w:rPr>
  </w:style>
  <w:style w:type="paragraph" w:styleId="1023" w:customStyle="1">
    <w:name w:val="正文首行缩进 21"/>
    <w:basedOn w:val="780"/>
    <w:next w:val="1024"/>
    <w:uiPriority w:val="99"/>
    <w:unhideWhenUsed/>
    <w:qFormat/>
    <w:pPr>
      <w:ind w:firstLine="420"/>
    </w:pPr>
  </w:style>
  <w:style w:type="paragraph" w:styleId="1024" w:customStyle="1">
    <w:name w:val="正文11"/>
    <w:next w:val="1023"/>
    <w:uiPriority w:val="0"/>
    <w:qFormat/>
    <w:pPr>
      <w:jc w:val="both"/>
      <w:widowControl w:val="off"/>
    </w:pPr>
    <w:rPr>
      <w:rFonts w:hint="default" w:ascii="Times New Roman" w:hAnsi="Times New Roman" w:eastAsia="宋体" w:cs="Times New Roman"/>
      <w:sz w:val="21"/>
      <w:szCs w:val="22"/>
      <w:lang w:val="en-US" w:eastAsia="zh-CN" w:bidi="ar-SA"/>
    </w:rPr>
  </w:style>
  <w:style w:type="table" w:styleId="1025" w:customStyle="1">
    <w:name w:val="网格型1"/>
    <w:basedOn w:val="976"/>
    <w:uiPriority w:val="0"/>
    <w:unhideWhenUsed/>
    <w:qFormat/>
    <w:pPr>
      <w:jc w:val="both"/>
      <w:widowControl w:val="off"/>
    </w:pPr>
    <w:tblPr/>
  </w:style>
  <w:style w:type="character" w:styleId="1026" w:customStyle="1">
    <w:name w:val="要点1"/>
    <w:uiPriority w:val="0"/>
    <w:qFormat/>
    <w:rPr>
      <w:b/>
      <w:bCs/>
    </w:rPr>
  </w:style>
  <w:style w:type="character" w:styleId="1027" w:customStyle="1">
    <w:name w:val="页码1"/>
    <w:uiPriority w:val="0"/>
    <w:unhideWhenUsed/>
    <w:qFormat/>
  </w:style>
  <w:style w:type="character" w:styleId="1028" w:customStyle="1">
    <w:name w:val="访问过的超链接1"/>
    <w:uiPriority w:val="0"/>
    <w:qFormat/>
    <w:rPr>
      <w:rFonts w:ascii="微软雅黑" w:hAnsi="微软雅黑" w:eastAsia="微软雅黑" w:cs="微软雅黑"/>
      <w:color w:val="3d3d3d"/>
      <w:u w:val="none"/>
    </w:rPr>
  </w:style>
  <w:style w:type="character" w:styleId="1029" w:customStyle="1">
    <w:name w:val="超链接1"/>
    <w:uiPriority w:val="99"/>
    <w:unhideWhenUsed/>
    <w:qFormat/>
    <w:rPr>
      <w:rFonts w:hint="eastAsia" w:ascii="微软雅黑" w:hAnsi="微软雅黑" w:eastAsia="微软雅黑" w:cs="微软雅黑"/>
      <w:color w:val="3d3d3d"/>
      <w:u w:val="none"/>
    </w:rPr>
  </w:style>
  <w:style w:type="character" w:styleId="1030" w:customStyle="1">
    <w:name w:val="批注引用1"/>
    <w:uiPriority w:val="0"/>
    <w:qFormat/>
    <w:rPr>
      <w:sz w:val="21"/>
      <w:szCs w:val="21"/>
    </w:rPr>
  </w:style>
  <w:style w:type="character" w:styleId="1031" w:customStyle="1">
    <w:name w:val="font11"/>
    <w:uiPriority w:val="0"/>
    <w:qFormat/>
    <w:rPr>
      <w:rFonts w:hint="eastAsia" w:ascii="宋体" w:hAnsi="宋体" w:eastAsia="宋体" w:cs="宋体"/>
      <w:color w:val="000000"/>
      <w:sz w:val="20"/>
      <w:szCs w:val="20"/>
      <w:u w:val="none"/>
    </w:rPr>
  </w:style>
  <w:style w:type="character" w:styleId="1032" w:customStyle="1">
    <w:name w:val="z-窗体底端 Char"/>
    <w:link w:val="1033"/>
    <w:uiPriority w:val="0"/>
    <w:qFormat/>
    <w:rPr>
      <w:rFonts w:ascii="Arial" w:hAnsi="Arial" w:cs="Arial"/>
      <w:vanish/>
      <w:sz w:val="16"/>
      <w:szCs w:val="16"/>
    </w:rPr>
  </w:style>
  <w:style w:type="paragraph" w:styleId="1033" w:customStyle="1">
    <w:name w:val="z-窗体底端1"/>
    <w:basedOn w:val="720"/>
    <w:next w:val="720"/>
    <w:link w:val="1032"/>
    <w:uiPriority w:val="0"/>
    <w:unhideWhenUsed/>
    <w:qFormat/>
    <w:pPr>
      <w:jc w:val="center"/>
      <w:pBdr>
        <w:top w:val="single" w:color="000000" w:sz="6" w:space="1"/>
      </w:pBdr>
    </w:pPr>
    <w:rPr>
      <w:rFonts w:ascii="Arial" w:hAnsi="Arial" w:eastAsia="宋体" w:cs="Arial"/>
      <w:vanish/>
      <w:sz w:val="16"/>
      <w:szCs w:val="16"/>
    </w:rPr>
  </w:style>
  <w:style w:type="character" w:styleId="1034" w:customStyle="1">
    <w:name w:val="Char Char Char"/>
    <w:uiPriority w:val="0"/>
    <w:qFormat/>
    <w:rPr>
      <w:rFonts w:hint="eastAsia" w:ascii="黑体" w:hAnsi="黑体" w:eastAsia="黑体"/>
      <w:bCs/>
      <w:sz w:val="28"/>
      <w:szCs w:val="32"/>
      <w:lang w:val="en-US" w:eastAsia="zh-CN" w:bidi="ar-SA"/>
    </w:rPr>
  </w:style>
  <w:style w:type="character" w:styleId="1035" w:customStyle="1">
    <w:name w:val="尾注文本 Char1"/>
    <w:uiPriority w:val="99"/>
    <w:semiHidden/>
    <w:qFormat/>
    <w:rPr>
      <w:rFonts w:eastAsia="楷体_GB2312"/>
      <w:sz w:val="26"/>
    </w:rPr>
  </w:style>
  <w:style w:type="character" w:styleId="1036" w:customStyle="1">
    <w:name w:val="font01"/>
    <w:uiPriority w:val="0"/>
    <w:qFormat/>
    <w:rPr>
      <w:rFonts w:ascii="Calibri" w:hAnsi="Calibri" w:cs="Calibri"/>
      <w:color w:val="000000"/>
      <w:sz w:val="20"/>
      <w:szCs w:val="20"/>
      <w:u w:val="none"/>
    </w:rPr>
  </w:style>
  <w:style w:type="character" w:styleId="1037" w:customStyle="1">
    <w:name w:val="纯文本 Char Char"/>
    <w:uiPriority w:val="0"/>
    <w:qFormat/>
    <w:rPr>
      <w:rFonts w:ascii="宋体" w:hAnsi="Courier New" w:eastAsia="宋体" w:cs="Courier New"/>
      <w:sz w:val="21"/>
      <w:szCs w:val="21"/>
      <w:lang w:val="en-US" w:eastAsia="zh-CN" w:bidi="ar-SA"/>
    </w:rPr>
  </w:style>
  <w:style w:type="character" w:styleId="1038" w:customStyle="1">
    <w:name w:val="Plain Text Char Char"/>
    <w:link w:val="1039"/>
    <w:uiPriority w:val="0"/>
    <w:qFormat/>
    <w:rPr>
      <w:rFonts w:ascii="宋体" w:hAnsi="Courier New" w:eastAsia="楷体_GB2312"/>
      <w:sz w:val="26"/>
      <w:lang w:val="en-US" w:eastAsia="zh-CN" w:bidi="ar-SA"/>
    </w:rPr>
  </w:style>
  <w:style w:type="paragraph" w:styleId="1039" w:customStyle="1">
    <w:name w:val="纯文本1"/>
    <w:basedOn w:val="720"/>
    <w:link w:val="1038"/>
    <w:uiPriority w:val="0"/>
    <w:qFormat/>
    <w:rPr>
      <w:rFonts w:ascii="宋体" w:hAnsi="Courier New"/>
    </w:rPr>
  </w:style>
  <w:style w:type="character" w:styleId="1040" w:customStyle="1">
    <w:name w:val="样式 粉红"/>
    <w:uiPriority w:val="0"/>
    <w:qFormat/>
    <w:rPr>
      <w:color w:val="000000"/>
      <w:u w:val="none"/>
    </w:rPr>
  </w:style>
  <w:style w:type="character" w:styleId="1041" w:customStyle="1">
    <w:name w:val="Char Char5"/>
    <w:uiPriority w:val="0"/>
    <w:qFormat/>
    <w:rPr>
      <w:rFonts w:hint="eastAsia" w:ascii="黑体" w:hAnsi="黑体" w:eastAsia="黑体"/>
      <w:b/>
      <w:bCs/>
      <w:sz w:val="72"/>
      <w:szCs w:val="44"/>
      <w:lang w:val="en-US" w:eastAsia="zh-CN" w:bidi="ar-SA"/>
    </w:rPr>
  </w:style>
  <w:style w:type="character" w:styleId="1042" w:customStyle="1">
    <w:name w:val="文档结构图 Char1"/>
    <w:uiPriority w:val="99"/>
    <w:semiHidden/>
    <w:qFormat/>
    <w:rPr>
      <w:rFonts w:ascii="宋体"/>
      <w:sz w:val="18"/>
      <w:szCs w:val="18"/>
    </w:rPr>
  </w:style>
  <w:style w:type="character" w:styleId="1043" w:customStyle="1">
    <w:name w:val="font112"/>
    <w:uiPriority w:val="0"/>
    <w:qFormat/>
    <w:rPr>
      <w:rFonts w:hint="eastAsia" w:ascii="宋体" w:hAnsi="宋体" w:eastAsia="宋体" w:cs="宋体"/>
      <w:color w:val="000000"/>
      <w:sz w:val="20"/>
      <w:szCs w:val="20"/>
      <w:u w:val="none"/>
    </w:rPr>
  </w:style>
  <w:style w:type="character" w:styleId="1044" w:customStyle="1">
    <w:name w:val="Char Char1"/>
    <w:uiPriority w:val="0"/>
    <w:qFormat/>
    <w:rPr>
      <w:rFonts w:ascii="Arial" w:hAnsi="Arial" w:eastAsia="黑体"/>
      <w:b/>
      <w:bCs/>
      <w:sz w:val="32"/>
      <w:szCs w:val="32"/>
      <w:lang w:val="en-US" w:eastAsia="zh-CN" w:bidi="ar-SA"/>
    </w:rPr>
  </w:style>
  <w:style w:type="character" w:styleId="1045" w:customStyle="1">
    <w:name w:val="z-窗体顶端 Char1"/>
    <w:link w:val="1046"/>
    <w:uiPriority w:val="0"/>
    <w:qFormat/>
    <w:rPr>
      <w:rFonts w:ascii="Arial" w:hAnsi="Arial" w:cs="Arial"/>
      <w:vanish/>
      <w:sz w:val="16"/>
      <w:szCs w:val="16"/>
    </w:rPr>
  </w:style>
  <w:style w:type="paragraph" w:styleId="1046" w:customStyle="1">
    <w:name w:val="z-窗体顶端1"/>
    <w:basedOn w:val="720"/>
    <w:next w:val="720"/>
    <w:link w:val="1045"/>
    <w:uiPriority w:val="0"/>
    <w:qFormat/>
    <w:pPr>
      <w:jc w:val="center"/>
      <w:pBdr>
        <w:bottom w:val="single" w:color="000000" w:sz="6" w:space="1"/>
      </w:pBdr>
    </w:pPr>
    <w:rPr>
      <w:rFonts w:ascii="Arial" w:hAnsi="Arial" w:eastAsia="宋体" w:cs="Arial"/>
      <w:vanish/>
      <w:sz w:val="16"/>
      <w:szCs w:val="16"/>
    </w:rPr>
  </w:style>
  <w:style w:type="character" w:styleId="1047" w:customStyle="1">
    <w:name w:val="grame"/>
    <w:uiPriority w:val="0"/>
    <w:qFormat/>
  </w:style>
  <w:style w:type="character" w:styleId="1048" w:customStyle="1">
    <w:name w:val="Heading #1|1_"/>
    <w:link w:val="1049"/>
    <w:uiPriority w:val="0"/>
    <w:qFormat/>
    <w:rPr>
      <w:rFonts w:ascii="宋体" w:hAnsi="宋体" w:eastAsia="宋体" w:cs="宋体"/>
      <w:color w:val="fc5c77"/>
      <w:sz w:val="138"/>
      <w:szCs w:val="138"/>
      <w:lang w:val="zh-TW" w:eastAsia="zh-TW" w:bidi="zh-TW"/>
    </w:rPr>
  </w:style>
  <w:style w:type="paragraph" w:styleId="1049" w:customStyle="1">
    <w:name w:val="Heading #1|1"/>
    <w:basedOn w:val="720"/>
    <w:link w:val="1048"/>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050" w:customStyle="1">
    <w:name w:val="font21"/>
    <w:uiPriority w:val="0"/>
    <w:qFormat/>
    <w:rPr>
      <w:rFonts w:hint="eastAsia" w:ascii="宋体" w:hAnsi="宋体" w:eastAsia="宋体" w:cs="宋体"/>
      <w:color w:val="000000"/>
      <w:sz w:val="20"/>
      <w:szCs w:val="20"/>
      <w:u w:val="none"/>
    </w:rPr>
  </w:style>
  <w:style w:type="character" w:styleId="1051" w:customStyle="1">
    <w:name w:val="z-窗体顶端 Char"/>
    <w:link w:val="1052"/>
    <w:uiPriority w:val="0"/>
    <w:qFormat/>
    <w:rPr>
      <w:rFonts w:ascii="Arial" w:hAnsi="Arial" w:cs="Arial"/>
      <w:vanish/>
      <w:sz w:val="16"/>
      <w:szCs w:val="16"/>
    </w:rPr>
  </w:style>
  <w:style w:type="paragraph" w:styleId="1052" w:customStyle="1">
    <w:name w:val="z-窗体顶端11"/>
    <w:basedOn w:val="720"/>
    <w:next w:val="720"/>
    <w:link w:val="1051"/>
    <w:uiPriority w:val="0"/>
    <w:unhideWhenUsed/>
    <w:qFormat/>
    <w:pPr>
      <w:jc w:val="center"/>
      <w:pBdr>
        <w:bottom w:val="single" w:color="000000" w:sz="6" w:space="1"/>
      </w:pBdr>
    </w:pPr>
    <w:rPr>
      <w:rFonts w:ascii="Arial" w:hAnsi="Arial" w:eastAsia="宋体" w:cs="Arial"/>
      <w:vanish/>
      <w:sz w:val="16"/>
      <w:szCs w:val="16"/>
    </w:rPr>
  </w:style>
  <w:style w:type="character" w:styleId="1053" w:customStyle="1">
    <w:name w:val="标题 Char1"/>
    <w:uiPriority w:val="10"/>
    <w:qFormat/>
    <w:rPr>
      <w:rFonts w:ascii="Cambria" w:hAnsi="Cambria" w:cs="Times New Roman"/>
      <w:b/>
      <w:bCs/>
      <w:sz w:val="32"/>
      <w:szCs w:val="32"/>
    </w:rPr>
  </w:style>
  <w:style w:type="character" w:styleId="1054" w:customStyle="1">
    <w:name w:val="Char Char3"/>
    <w:uiPriority w:val="0"/>
    <w:qFormat/>
    <w:rPr>
      <w:b/>
      <w:bCs/>
      <w:sz w:val="32"/>
      <w:szCs w:val="32"/>
    </w:rPr>
  </w:style>
  <w:style w:type="character" w:styleId="1055" w:customStyle="1">
    <w:name w:val="Blockquote Char Char"/>
    <w:link w:val="1056"/>
    <w:uiPriority w:val="0"/>
    <w:qFormat/>
    <w:rPr>
      <w:rFonts w:cs="宋体"/>
      <w:sz w:val="24"/>
      <w:szCs w:val="24"/>
    </w:rPr>
  </w:style>
  <w:style w:type="paragraph" w:styleId="1056" w:customStyle="1">
    <w:name w:val="Blockquote"/>
    <w:basedOn w:val="720"/>
    <w:link w:val="1055"/>
    <w:uiPriority w:val="0"/>
    <w:qFormat/>
    <w:pPr>
      <w:ind w:left="360" w:right="360"/>
      <w:jc w:val="left"/>
      <w:spacing w:before="100" w:after="100"/>
    </w:pPr>
    <w:rPr>
      <w:rFonts w:eastAsia="宋体" w:cs="宋体"/>
      <w:sz w:val="24"/>
      <w:szCs w:val="24"/>
    </w:rPr>
  </w:style>
  <w:style w:type="character" w:styleId="1057" w:customStyle="1">
    <w:name w:val="Char Char4"/>
    <w:uiPriority w:val="0"/>
    <w:qFormat/>
    <w:rPr>
      <w:rFonts w:ascii="Arial" w:hAnsi="Arial" w:eastAsia="黑体" w:cs="Arial"/>
      <w:bCs/>
      <w:sz w:val="24"/>
      <w:szCs w:val="28"/>
      <w:lang w:val="en-US" w:eastAsia="zh-CN" w:bidi="ar-SA"/>
    </w:rPr>
  </w:style>
  <w:style w:type="character" w:styleId="1058" w:customStyle="1">
    <w:name w:val="Other|1_"/>
    <w:link w:val="1059"/>
    <w:uiPriority w:val="0"/>
    <w:qFormat/>
    <w:rPr>
      <w:rFonts w:ascii="宋体" w:hAnsi="宋体" w:eastAsia="宋体" w:cs="宋体"/>
      <w:color w:val="4e4a50"/>
      <w:lang w:val="zh-TW" w:eastAsia="zh-TW" w:bidi="zh-TW"/>
    </w:rPr>
  </w:style>
  <w:style w:type="paragraph" w:styleId="1059" w:customStyle="1">
    <w:name w:val="Other|1"/>
    <w:basedOn w:val="720"/>
    <w:link w:val="1058"/>
    <w:uiPriority w:val="0"/>
    <w:qFormat/>
    <w:pPr>
      <w:jc w:val="center"/>
      <w:spacing w:line="308" w:lineRule="exact"/>
    </w:pPr>
    <w:rPr>
      <w:rFonts w:ascii="宋体" w:hAnsi="宋体" w:eastAsia="宋体" w:cs="宋体"/>
      <w:color w:val="4e4a50"/>
      <w:sz w:val="20"/>
      <w:lang w:val="zh-TW" w:eastAsia="zh-TW" w:bidi="zh-TW"/>
    </w:rPr>
  </w:style>
  <w:style w:type="character" w:styleId="1060" w:customStyle="1">
    <w:name w:val="z-窗体底端 Char2"/>
    <w:uiPriority w:val="99"/>
    <w:semiHidden/>
    <w:qFormat/>
    <w:rPr>
      <w:rFonts w:ascii="Arial" w:hAnsi="Arial" w:eastAsia="楷体_GB2312" w:cs="Arial"/>
      <w:vanish/>
      <w:sz w:val="16"/>
      <w:szCs w:val="16"/>
    </w:rPr>
  </w:style>
  <w:style w:type="character" w:styleId="1061" w:customStyle="1">
    <w:name w:val="font61"/>
    <w:uiPriority w:val="0"/>
    <w:qFormat/>
    <w:rPr>
      <w:rFonts w:ascii="Calibri" w:hAnsi="Calibri" w:cs="Calibri"/>
      <w:color w:val="000000"/>
      <w:sz w:val="20"/>
      <w:szCs w:val="20"/>
      <w:u w:val="none"/>
    </w:rPr>
  </w:style>
  <w:style w:type="character" w:styleId="1062" w:customStyle="1">
    <w:name w:val="Body text|3_"/>
    <w:link w:val="1063"/>
    <w:uiPriority w:val="0"/>
    <w:qFormat/>
    <w:rPr>
      <w:color w:val="5c575b"/>
      <w:sz w:val="26"/>
      <w:szCs w:val="26"/>
      <w:lang w:val="zh-TW" w:eastAsia="zh-TW" w:bidi="zh-TW"/>
    </w:rPr>
  </w:style>
  <w:style w:type="paragraph" w:styleId="1063" w:customStyle="1">
    <w:name w:val="Body text|3"/>
    <w:basedOn w:val="720"/>
    <w:link w:val="1062"/>
    <w:uiPriority w:val="0"/>
    <w:qFormat/>
    <w:pPr>
      <w:jc w:val="left"/>
    </w:pPr>
    <w:rPr>
      <w:rFonts w:eastAsia="宋体"/>
      <w:color w:val="5c575b"/>
      <w:szCs w:val="26"/>
      <w:lang w:val="zh-TW" w:eastAsia="zh-TW" w:bidi="zh-TW"/>
    </w:rPr>
  </w:style>
  <w:style w:type="character" w:styleId="1064" w:customStyle="1">
    <w:name w:val="Char Char2"/>
    <w:uiPriority w:val="0"/>
    <w:qFormat/>
    <w:rPr>
      <w:rFonts w:ascii="Arial" w:hAnsi="Arial" w:eastAsia="黑体" w:cs="Arial"/>
      <w:b/>
      <w:bCs/>
      <w:sz w:val="32"/>
      <w:szCs w:val="32"/>
      <w:lang w:val="en-US" w:eastAsia="zh-CN" w:bidi="ar-SA"/>
    </w:rPr>
  </w:style>
  <w:style w:type="character" w:styleId="1065" w:customStyle="1">
    <w:name w:val="z-窗体顶端 Char2"/>
    <w:uiPriority w:val="99"/>
    <w:semiHidden/>
    <w:qFormat/>
    <w:rPr>
      <w:rFonts w:ascii="Arial" w:hAnsi="Arial" w:eastAsia="楷体_GB2312" w:cs="Arial"/>
      <w:vanish/>
      <w:sz w:val="16"/>
      <w:szCs w:val="16"/>
    </w:rPr>
  </w:style>
  <w:style w:type="character" w:styleId="1066" w:customStyle="1">
    <w:name w:val="Header or footer|2_"/>
    <w:link w:val="1067"/>
    <w:uiPriority w:val="0"/>
    <w:qFormat/>
    <w:rPr>
      <w:lang w:val="zh-TW" w:eastAsia="zh-TW" w:bidi="zh-TW"/>
    </w:rPr>
  </w:style>
  <w:style w:type="paragraph" w:styleId="1067" w:customStyle="1">
    <w:name w:val="Header or footer|2"/>
    <w:basedOn w:val="720"/>
    <w:link w:val="1066"/>
    <w:uiPriority w:val="0"/>
    <w:qFormat/>
    <w:pPr>
      <w:jc w:val="left"/>
    </w:pPr>
    <w:rPr>
      <w:rFonts w:eastAsia="宋体"/>
      <w:sz w:val="20"/>
      <w:lang w:val="zh-TW" w:eastAsia="zh-TW" w:bidi="zh-TW"/>
    </w:rPr>
  </w:style>
  <w:style w:type="character" w:styleId="1068" w:customStyle="1">
    <w:name w:val="正文首行缩进 Char1"/>
    <w:uiPriority w:val="0"/>
    <w:qFormat/>
  </w:style>
  <w:style w:type="character" w:styleId="1069" w:customStyle="1">
    <w:name w:val="Body text|1_"/>
    <w:link w:val="1070"/>
    <w:uiPriority w:val="0"/>
    <w:qFormat/>
    <w:rPr>
      <w:rFonts w:ascii="宋体" w:hAnsi="宋体" w:eastAsia="宋体" w:cs="宋体"/>
      <w:color w:val="4e4a50"/>
      <w:sz w:val="26"/>
      <w:szCs w:val="26"/>
      <w:lang w:val="zh-TW" w:eastAsia="zh-TW" w:bidi="zh-TW"/>
    </w:rPr>
  </w:style>
  <w:style w:type="paragraph" w:styleId="1070" w:customStyle="1">
    <w:name w:val="Body text|1"/>
    <w:basedOn w:val="720"/>
    <w:link w:val="1069"/>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071" w:customStyle="1">
    <w:name w:val="Picture caption|1_"/>
    <w:link w:val="1072"/>
    <w:uiPriority w:val="0"/>
    <w:qFormat/>
    <w:rPr>
      <w:rFonts w:ascii="宋体" w:hAnsi="宋体" w:eastAsia="宋体" w:cs="宋体"/>
      <w:color w:val="4e4a50"/>
      <w:sz w:val="26"/>
      <w:szCs w:val="26"/>
      <w:lang w:val="zh-TW" w:eastAsia="zh-TW" w:bidi="zh-TW"/>
    </w:rPr>
  </w:style>
  <w:style w:type="paragraph" w:styleId="1072" w:customStyle="1">
    <w:name w:val="Picture caption|1"/>
    <w:basedOn w:val="720"/>
    <w:link w:val="1071"/>
    <w:uiPriority w:val="0"/>
    <w:qFormat/>
    <w:pPr>
      <w:jc w:val="left"/>
    </w:pPr>
    <w:rPr>
      <w:rFonts w:ascii="宋体" w:hAnsi="宋体" w:eastAsia="宋体" w:cs="宋体"/>
      <w:color w:val="4e4a50"/>
      <w:szCs w:val="26"/>
      <w:lang w:val="zh-TW" w:eastAsia="zh-TW" w:bidi="zh-TW"/>
    </w:rPr>
  </w:style>
  <w:style w:type="character" w:styleId="1073" w:customStyle="1">
    <w:name w:val="Char Char"/>
    <w:uiPriority w:val="0"/>
    <w:qFormat/>
    <w:rPr>
      <w:rFonts w:eastAsia="黑体"/>
      <w:bCs/>
      <w:sz w:val="28"/>
      <w:szCs w:val="32"/>
      <w:lang w:val="en-US" w:eastAsia="zh-CN" w:bidi="ar-SA"/>
    </w:rPr>
  </w:style>
  <w:style w:type="character" w:styleId="1074" w:customStyle="1">
    <w:name w:val="Heading #2|1_"/>
    <w:link w:val="1075"/>
    <w:uiPriority w:val="0"/>
    <w:qFormat/>
    <w:rPr>
      <w:rFonts w:ascii="宋体" w:hAnsi="宋体" w:eastAsia="宋体" w:cs="宋体"/>
      <w:color w:val="4e4a50"/>
      <w:sz w:val="40"/>
      <w:szCs w:val="40"/>
      <w:lang w:val="zh-TW" w:eastAsia="zh-TW" w:bidi="zh-TW"/>
    </w:rPr>
  </w:style>
  <w:style w:type="paragraph" w:styleId="1075" w:customStyle="1">
    <w:name w:val="Heading #2|1"/>
    <w:basedOn w:val="720"/>
    <w:link w:val="1074"/>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076" w:customStyle="1">
    <w:name w:val="font51"/>
    <w:uiPriority w:val="0"/>
    <w:qFormat/>
    <w:rPr>
      <w:rFonts w:hint="eastAsia" w:ascii="宋体" w:hAnsi="宋体" w:eastAsia="宋体" w:cs="宋体"/>
      <w:color w:val="000000"/>
      <w:sz w:val="20"/>
      <w:szCs w:val="20"/>
      <w:u w:val="none"/>
    </w:rPr>
  </w:style>
  <w:style w:type="character" w:styleId="1077" w:customStyle="1">
    <w:name w:val="z-窗体底端 Char1"/>
    <w:link w:val="1078"/>
    <w:uiPriority w:val="0"/>
    <w:qFormat/>
    <w:rPr>
      <w:rFonts w:ascii="Arial" w:hAnsi="Arial" w:cs="Arial"/>
      <w:vanish/>
      <w:sz w:val="16"/>
      <w:szCs w:val="16"/>
    </w:rPr>
  </w:style>
  <w:style w:type="paragraph" w:styleId="1078" w:customStyle="1">
    <w:name w:val="z-窗体底端2"/>
    <w:basedOn w:val="720"/>
    <w:next w:val="720"/>
    <w:link w:val="1077"/>
    <w:uiPriority w:val="0"/>
    <w:qFormat/>
    <w:pPr>
      <w:jc w:val="center"/>
      <w:pBdr>
        <w:top w:val="single" w:color="000000" w:sz="6" w:space="1"/>
      </w:pBdr>
    </w:pPr>
    <w:rPr>
      <w:rFonts w:ascii="Arial" w:hAnsi="Arial" w:eastAsia="宋体" w:cs="Arial"/>
      <w:vanish/>
      <w:sz w:val="16"/>
      <w:szCs w:val="16"/>
    </w:rPr>
  </w:style>
  <w:style w:type="paragraph" w:styleId="1079" w:customStyle="1">
    <w:name w:val="样式 标题 2 + Times New Roman 四号 非加粗 段前: 5 磅 段后: 0 磅 行距: 固定值 20..."/>
    <w:basedOn w:val="971"/>
    <w:uiPriority w:val="0"/>
    <w:qFormat/>
    <w:pPr>
      <w:jc w:val="center"/>
      <w:spacing w:before="100" w:after="0" w:line="400" w:lineRule="exact"/>
    </w:pPr>
    <w:rPr>
      <w:rFonts w:ascii="Times New Roman" w:hAnsi="Times New Roman" w:cs="宋体"/>
      <w:b w:val="0"/>
      <w:bCs w:val="0"/>
      <w:sz w:val="28"/>
      <w:szCs w:val="20"/>
    </w:rPr>
  </w:style>
  <w:style w:type="paragraph" w:styleId="1080" w:customStyle="1">
    <w:name w:val="正文首行缩进两字符"/>
    <w:basedOn w:val="720"/>
    <w:uiPriority w:val="0"/>
    <w:qFormat/>
    <w:pPr>
      <w:ind w:firstLine="200"/>
      <w:spacing w:line="360" w:lineRule="auto"/>
    </w:pPr>
    <w:rPr>
      <w:rFonts w:eastAsia="宋体"/>
      <w:sz w:val="21"/>
      <w:szCs w:val="24"/>
    </w:rPr>
  </w:style>
  <w:style w:type="paragraph" w:styleId="1081" w:customStyle="1">
    <w:name w:val="red"/>
    <w:basedOn w:val="720"/>
    <w:uiPriority w:val="0"/>
    <w:qFormat/>
    <w:pPr>
      <w:jc w:val="left"/>
      <w:spacing w:before="100" w:beforeAutospacing="1" w:after="100" w:afterAutospacing="1"/>
      <w:widowControl/>
    </w:pPr>
    <w:rPr>
      <w:rFonts w:ascii="宋体" w:hAnsi="宋体" w:eastAsia="宋体" w:cs="宋体"/>
      <w:sz w:val="21"/>
      <w:szCs w:val="21"/>
    </w:rPr>
  </w:style>
  <w:style w:type="paragraph" w:styleId="1082" w:customStyle="1">
    <w:name w:val="z-窗体底端3"/>
    <w:basedOn w:val="720"/>
    <w:next w:val="720"/>
    <w:uiPriority w:val="0"/>
    <w:unhideWhenUsed/>
    <w:qFormat/>
    <w:pPr>
      <w:jc w:val="center"/>
      <w:pBdr>
        <w:top w:val="single" w:color="000000" w:sz="6" w:space="1"/>
      </w:pBdr>
    </w:pPr>
    <w:rPr>
      <w:rFonts w:ascii="Arial" w:hAnsi="Arial" w:eastAsia="宋体" w:cs="Arial"/>
      <w:vanish/>
      <w:sz w:val="16"/>
      <w:szCs w:val="16"/>
    </w:rPr>
  </w:style>
  <w:style w:type="paragraph" w:styleId="1083" w:customStyle="1">
    <w:name w:val="_Style 4"/>
    <w:basedOn w:val="720"/>
    <w:next w:val="720"/>
    <w:uiPriority w:val="0"/>
    <w:qFormat/>
    <w:pPr>
      <w:ind w:firstLine="420"/>
    </w:pPr>
    <w:rPr>
      <w:rFonts w:ascii="Calibri" w:hAnsi="Calibri" w:eastAsia="宋体"/>
      <w:sz w:val="21"/>
      <w:szCs w:val="22"/>
    </w:rPr>
  </w:style>
  <w:style w:type="paragraph" w:styleId="1084" w:customStyle="1">
    <w:name w:val="无间隔1"/>
    <w:uiPriority w:val="0"/>
    <w:qFormat/>
    <w:pPr>
      <w:jc w:val="both"/>
      <w:widowControl w:val="off"/>
    </w:pPr>
    <w:rPr>
      <w:rFonts w:hint="default" w:ascii="Times New Roman" w:hAnsi="Times New Roman" w:eastAsia="宋体" w:cs="Times New Roman"/>
      <w:sz w:val="21"/>
      <w:szCs w:val="24"/>
    </w:rPr>
  </w:style>
  <w:style w:type="paragraph" w:styleId="1085" w:customStyle="1">
    <w:name w:val="无间隔2"/>
    <w:uiPriority w:val="0"/>
    <w:qFormat/>
    <w:pPr>
      <w:jc w:val="both"/>
      <w:widowControl w:val="off"/>
    </w:pPr>
    <w:rPr>
      <w:rFonts w:hint="default" w:ascii="Times New Roman" w:hAnsi="Times New Roman" w:eastAsia="宋体" w:cs="Times New Roman"/>
      <w:sz w:val="21"/>
      <w:szCs w:val="24"/>
    </w:rPr>
  </w:style>
  <w:style w:type="paragraph" w:styleId="1086" w:customStyle="1">
    <w:name w:val="默认段落字体 Para Char Char Char Char Char Char Char"/>
    <w:basedOn w:val="720"/>
    <w:uiPriority w:val="0"/>
    <w:qFormat/>
    <w:rPr>
      <w:rFonts w:ascii="Tahoma" w:hAnsi="Tahoma" w:eastAsia="宋体"/>
      <w:sz w:val="24"/>
    </w:rPr>
  </w:style>
  <w:style w:type="paragraph" w:styleId="1087" w:customStyle="1">
    <w:name w:val="Char"/>
    <w:basedOn w:val="720"/>
    <w:uiPriority w:val="0"/>
    <w:qFormat/>
    <w:rPr>
      <w:rFonts w:ascii="Tahoma" w:hAnsi="Tahoma" w:eastAsia="宋体"/>
      <w:sz w:val="24"/>
    </w:rPr>
  </w:style>
  <w:style w:type="paragraph" w:styleId="1088" w:customStyle="1">
    <w:name w:val="样式1"/>
    <w:basedOn w:val="973"/>
    <w:uiPriority w:val="0"/>
    <w:qFormat/>
    <w:pPr>
      <w:jc w:val="left"/>
      <w:spacing w:before="0" w:after="0" w:line="240" w:lineRule="auto"/>
    </w:pPr>
    <w:rPr>
      <w:rFonts w:ascii="黑体" w:hAnsi="宋体" w:eastAsia="黑体" w:cs="黑体"/>
      <w:b w:val="0"/>
      <w:color w:val="000000"/>
      <w:sz w:val="21"/>
    </w:rPr>
  </w:style>
  <w:style w:type="paragraph" w:styleId="1089" w:customStyle="1">
    <w:name w:val="修订1"/>
    <w:uiPriority w:val="99"/>
    <w:unhideWhenUsed/>
    <w:qFormat/>
    <w:rPr>
      <w:rFonts w:hint="default" w:ascii="Times New Roman" w:hAnsi="Times New Roman" w:eastAsia="楷体_GB2312" w:cs="Times New Roman"/>
      <w:sz w:val="26"/>
    </w:rPr>
  </w:style>
  <w:style w:type="paragraph" w:styleId="1090" w:customStyle="1">
    <w:name w:val="列出段落"/>
    <w:basedOn w:val="720"/>
    <w:uiPriority w:val="0"/>
    <w:qFormat/>
    <w:pPr>
      <w:ind w:firstLine="420"/>
    </w:pPr>
  </w:style>
  <w:style w:type="paragraph" w:styleId="1091" w:customStyle="1">
    <w:name w:val="样式 样式 宋体 + 首行缩进:  1 字符"/>
    <w:basedOn w:val="1092"/>
    <w:uiPriority w:val="0"/>
    <w:qFormat/>
    <w:pPr>
      <w:spacing w:line="240" w:lineRule="auto"/>
    </w:pPr>
  </w:style>
  <w:style w:type="paragraph" w:styleId="1092" w:customStyle="1">
    <w:name w:val="样式 宋体"/>
    <w:basedOn w:val="720"/>
    <w:uiPriority w:val="0"/>
    <w:qFormat/>
    <w:pPr>
      <w:ind w:firstLine="100"/>
      <w:spacing w:line="360" w:lineRule="auto"/>
    </w:pPr>
    <w:rPr>
      <w:rFonts w:ascii="宋体" w:hAnsi="宋体" w:eastAsia="宋体" w:cs="宋体"/>
      <w:sz w:val="21"/>
    </w:rPr>
  </w:style>
  <w:style w:type="paragraph" w:styleId="1093" w:customStyle="1">
    <w:name w:val="正文1"/>
    <w:basedOn w:val="720"/>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094" w:customStyle="1">
    <w:name w:val="正文 + 黑体"/>
    <w:basedOn w:val="720"/>
    <w:uiPriority w:val="0"/>
    <w:qFormat/>
    <w:pPr>
      <w:jc w:val="left"/>
    </w:pPr>
    <w:rPr>
      <w:rFonts w:ascii="黑体" w:hAnsi="宋体" w:eastAsia="黑体" w:cs="TimesNewRomanPSMT"/>
      <w:sz w:val="24"/>
      <w:szCs w:val="24"/>
    </w:rPr>
  </w:style>
  <w:style w:type="paragraph" w:styleId="1095" w:customStyle="1">
    <w:name w:val="1"/>
    <w:basedOn w:val="720"/>
    <w:uiPriority w:val="0"/>
    <w:qFormat/>
    <w:rPr>
      <w:rFonts w:eastAsia="宋体"/>
      <w:sz w:val="21"/>
      <w:szCs w:val="24"/>
    </w:rPr>
  </w:style>
  <w:style w:type="paragraph" w:styleId="1096" w:customStyle="1">
    <w:name w:val="[基本段落]"/>
    <w:basedOn w:val="720"/>
    <w:uiPriority w:val="99"/>
    <w:qFormat/>
    <w:pPr>
      <w:jc w:val="left"/>
      <w:spacing w:line="288" w:lineRule="auto"/>
    </w:pPr>
    <w:rPr>
      <w:rFonts w:ascii="Myriad Roman" w:hAnsi="Myriad Roman" w:cs="Myriad Roman"/>
      <w:color w:val="000000"/>
      <w:sz w:val="24"/>
    </w:rPr>
  </w:style>
  <w:style w:type="paragraph" w:styleId="1097" w:customStyle="1">
    <w:name w:val="纯文本4"/>
    <w:basedOn w:val="720"/>
    <w:uiPriority w:val="0"/>
    <w:qFormat/>
    <w:rPr>
      <w:rFonts w:ascii="宋体" w:hAnsi="Courier New" w:eastAsia="宋体"/>
      <w:sz w:val="28"/>
      <w:szCs w:val="24"/>
    </w:rPr>
  </w:style>
  <w:style w:type="paragraph" w:styleId="1098" w:customStyle="1">
    <w:name w:val="Address"/>
    <w:basedOn w:val="720"/>
    <w:uiPriority w:val="0"/>
    <w:qFormat/>
    <w:pPr>
      <w:jc w:val="left"/>
      <w:spacing w:line="249" w:lineRule="auto"/>
      <w:widowControl/>
    </w:pPr>
    <w:rPr>
      <w:rFonts w:ascii="Centaur" w:hAnsi="Centaur"/>
      <w:sz w:val="20"/>
      <w:lang w:eastAsia="en-US"/>
    </w:rPr>
  </w:style>
  <w:style w:type="paragraph" w:styleId="1099" w:customStyle="1">
    <w:name w:val="金安桥正文"/>
    <w:basedOn w:val="780"/>
    <w:uiPriority w:val="0"/>
    <w:qFormat/>
    <w:pPr>
      <w:ind w:firstLine="200"/>
      <w:jc w:val="left"/>
      <w:spacing w:line="300" w:lineRule="auto"/>
    </w:pPr>
    <w:rPr>
      <w:rFonts w:ascii="Times New Roman"/>
      <w:sz w:val="24"/>
    </w:rPr>
  </w:style>
  <w:style w:type="paragraph" w:styleId="1100" w:customStyle="1">
    <w:name w:val="普通正文"/>
    <w:basedOn w:val="720"/>
    <w:uiPriority w:val="0"/>
    <w:qFormat/>
    <w:pPr>
      <w:ind w:firstLine="480"/>
      <w:jc w:val="left"/>
      <w:spacing w:before="120" w:after="120" w:line="360" w:lineRule="auto"/>
    </w:pPr>
    <w:rPr>
      <w:rFonts w:ascii="Arial" w:hAnsi="Arial"/>
      <w:sz w:val="24"/>
    </w:rPr>
  </w:style>
  <w:style w:type="paragraph" w:styleId="1101" w:customStyle="1">
    <w:name w:val="纯文本11"/>
    <w:basedOn w:val="720"/>
    <w:uiPriority w:val="99"/>
    <w:qFormat/>
    <w:rPr>
      <w:rFonts w:ascii="宋体" w:hAnsi="Courier New"/>
    </w:rPr>
  </w:style>
  <w:style w:type="paragraph" w:styleId="1102" w:customStyle="1">
    <w:name w:val="WPS Plain"/>
    <w:uiPriority w:val="0"/>
    <w:qFormat/>
    <w:rPr>
      <w:rFonts w:hint="default" w:ascii="Times New Roman" w:hAnsi="Times New Roman" w:eastAsia="宋体" w:cs="Times New Roman"/>
    </w:rPr>
  </w:style>
  <w:style w:type="paragraph" w:styleId="1103" w:customStyle="1">
    <w:name w:val="p0"/>
    <w:basedOn w:val="720"/>
    <w:uiPriority w:val="0"/>
    <w:qFormat/>
    <w:pPr>
      <w:widowControl/>
    </w:pPr>
    <w:rPr>
      <w:rFonts w:ascii="黑体" w:hAnsi="黑体"/>
      <w:szCs w:val="21"/>
    </w:rPr>
  </w:style>
  <w:style w:type="paragraph" w:styleId="1104" w:customStyle="1">
    <w:name w:val="首行缩进"/>
    <w:basedOn w:val="720"/>
    <w:uiPriority w:val="0"/>
    <w:qFormat/>
    <w:pPr>
      <w:ind w:firstLine="480"/>
      <w:spacing w:line="360" w:lineRule="auto"/>
    </w:pPr>
    <w:rPr>
      <w:rFonts w:hAnsi="宋体" w:eastAsia="宋体" w:cs="宋体"/>
      <w:sz w:val="24"/>
      <w:szCs w:val="24"/>
    </w:rPr>
  </w:style>
  <w:style w:type="paragraph" w:styleId="1105" w:customStyle="1">
    <w:name w:val="Char1"/>
    <w:basedOn w:val="720"/>
    <w:uiPriority w:val="0"/>
    <w:qFormat/>
    <w:pPr>
      <w:tabs>
        <w:tab w:val="left" w:pos="360" w:leader="none"/>
      </w:tabs>
    </w:pPr>
    <w:rPr>
      <w:rFonts w:eastAsia="宋体"/>
      <w:sz w:val="24"/>
      <w:szCs w:val="24"/>
    </w:rPr>
  </w:style>
  <w:style w:type="paragraph" w:styleId="1106" w:customStyle="1">
    <w:name w:val="z-窗体顶端2"/>
    <w:basedOn w:val="720"/>
    <w:next w:val="720"/>
    <w:uiPriority w:val="0"/>
    <w:unhideWhenUsed/>
    <w:qFormat/>
    <w:pPr>
      <w:jc w:val="center"/>
      <w:pBdr>
        <w:bottom w:val="single" w:color="000000" w:sz="6" w:space="1"/>
      </w:pBdr>
    </w:pPr>
    <w:rPr>
      <w:rFonts w:ascii="Arial" w:hAnsi="Arial" w:eastAsia="宋体" w:cs="Arial"/>
      <w:vanish/>
      <w:sz w:val="16"/>
      <w:szCs w:val="16"/>
    </w:rPr>
  </w:style>
  <w:style w:type="paragraph" w:styleId="1107" w:customStyle="1">
    <w:name w:val="样式 标题 3 + (中文) 黑体 小四 非加粗 段前: 7.8 磅 段后: 0 磅 行距: 固定值 20 磅"/>
    <w:basedOn w:val="972"/>
    <w:next w:val="720"/>
    <w:uiPriority w:val="0"/>
    <w:qFormat/>
    <w:pPr>
      <w:spacing w:before="0" w:after="0" w:line="400" w:lineRule="exact"/>
    </w:pPr>
    <w:rPr>
      <w:rFonts w:eastAsia="宋体"/>
      <w:sz w:val="24"/>
      <w:szCs w:val="20"/>
    </w:rPr>
  </w:style>
  <w:style w:type="paragraph" w:styleId="1108"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rPr>
  </w:style>
  <w:style w:type="paragraph" w:styleId="1109">
    <w:name w:val="No Spacing"/>
    <w:uiPriority w:val="0"/>
    <w:qFormat/>
    <w:pPr>
      <w:jc w:val="both"/>
      <w:widowControl w:val="off"/>
    </w:pPr>
    <w:rPr>
      <w:rFonts w:hint="default" w:ascii="Times New Roman" w:hAnsi="Times New Roman" w:eastAsia="宋体" w:cs="Times New Roman"/>
      <w:sz w:val="21"/>
      <w:szCs w:val="24"/>
    </w:rPr>
  </w:style>
  <w:style w:type="paragraph" w:styleId="1110" w:customStyle="1">
    <w:name w:val="Char Char Char Char Char Char Char Char Char Char"/>
    <w:basedOn w:val="720"/>
    <w:uiPriority w:val="0"/>
    <w:qFormat/>
    <w:pPr>
      <w:ind w:hanging="425"/>
      <w:keepNext/>
      <w:spacing w:before="80" w:after="80"/>
      <w:widowControl/>
      <w:tabs>
        <w:tab w:val="left" w:pos="425" w:leader="none"/>
      </w:tabs>
    </w:pPr>
    <w:rPr>
      <w:rFonts w:eastAsia="宋体"/>
      <w:sz w:val="20"/>
    </w:rPr>
  </w:style>
  <w:style w:type="paragraph" w:styleId="1111" w:customStyle="1">
    <w:name w:val="Style1"/>
    <w:basedOn w:val="720"/>
    <w:uiPriority w:val="0"/>
    <w:qFormat/>
    <w:pPr>
      <w:spacing w:after="120"/>
      <w:widowControl/>
      <w:tabs>
        <w:tab w:val="left" w:pos="-720" w:leader="none"/>
      </w:tabs>
    </w:pPr>
    <w:rPr>
      <w:spacing w:val="-3"/>
      <w:sz w:val="24"/>
      <w:lang w:val="en-AU" w:eastAsia="en-US"/>
    </w:rPr>
  </w:style>
  <w:style w:type="paragraph" w:styleId="1112" w:customStyle="1">
    <w:name w:val="样式2"/>
    <w:basedOn w:val="720"/>
    <w:next w:val="974"/>
    <w:uiPriority w:val="0"/>
    <w:qFormat/>
    <w:pPr>
      <w:jc w:val="center"/>
    </w:pPr>
    <w:rPr>
      <w:rFonts w:ascii="宋体" w:hAnsi="宋体" w:eastAsia="宋体" w:cs="Arial"/>
      <w:b/>
      <w:color w:val="000000"/>
      <w:sz w:val="21"/>
      <w:szCs w:val="21"/>
    </w:rPr>
  </w:style>
  <w:style w:type="paragraph" w:styleId="1113" w:customStyle="1">
    <w:name w:val="纯文本3"/>
    <w:basedOn w:val="720"/>
    <w:uiPriority w:val="0"/>
    <w:qFormat/>
    <w:rPr>
      <w:rFonts w:hint="eastAsia" w:ascii="宋体" w:hAnsi="Courier New"/>
      <w:sz w:val="28"/>
    </w:rPr>
  </w:style>
  <w:style w:type="paragraph" w:styleId="1114" w:customStyle="1">
    <w:name w:val="Table Paragraph"/>
    <w:basedOn w:val="720"/>
    <w:uiPriority w:val="1"/>
    <w:qFormat/>
  </w:style>
  <w:style w:type="table" w:styleId="1115" w:customStyle="1">
    <w:name w:val="Table Normal"/>
    <w:uiPriority w:val="2"/>
    <w:unhideWhenUsed/>
    <w:qFormat/>
    <w:tblPr>
      <w:tblCellMar>
        <w:left w:w="0" w:type="dxa"/>
        <w:top w:w="0" w:type="dxa"/>
        <w:right w:w="0" w:type="dxa"/>
        <w:bottom w:w="0" w:type="dxa"/>
      </w:tblCellMar>
    </w:tblPr>
  </w:style>
  <w:style w:type="paragraph" w:styleId="1116" w:customStyle="1">
    <w:name w:val="段"/>
    <w:next w:val="720"/>
    <w:uiPriority w:val="0"/>
    <w:qFormat/>
    <w:pPr>
      <w:ind w:firstLine="200"/>
      <w:jc w:val="both"/>
    </w:pPr>
    <w:rPr>
      <w:rFonts w:hint="default" w:ascii="宋体" w:hAnsi="Times New Roman" w:eastAsia="宋体" w:cs="Times New Roman"/>
      <w:sz w:val="21"/>
      <w:szCs w:val="22"/>
    </w:rPr>
  </w:style>
  <w:style w:type="paragraph" w:styleId="1117" w:customStyle="1">
    <w:name w:val="纯文本111"/>
    <w:basedOn w:val="720"/>
    <w:uiPriority w:val="0"/>
    <w:qFormat/>
    <w:rPr>
      <w:rFonts w:ascii="宋体" w:hAnsi="Courier New"/>
    </w:rPr>
  </w:style>
  <w:style w:type="character" w:styleId="1118" w:customStyle="1">
    <w:name w:val="纯文本 字符"/>
    <w:basedOn w:val="730"/>
    <w:link w:val="744"/>
    <w:uiPriority w:val="0"/>
    <w:qFormat/>
    <w:rPr>
      <w:rFonts w:hint="eastAsia" w:ascii="宋体" w:hAnsi="Courier New" w:eastAsia="宋体" w:cs="Courier New"/>
      <w:sz w:val="26"/>
    </w:rPr>
  </w:style>
  <w:style w:type="character" w:styleId="1119" w:customStyle="1">
    <w:name w:val="未处理的提及1"/>
    <w:basedOn w:val="730"/>
    <w:uiPriority w:val="99"/>
    <w:semiHidden/>
    <w:unhideWhenUsed/>
    <w:qFormat/>
    <w:rPr>
      <w:color w:val="605e5c"/>
      <w:shd w:val="clear" w:color="auto" w:fill="e1dfdd"/>
    </w:rPr>
  </w:style>
  <w:style w:type="character" w:styleId="1120" w:customStyle="1">
    <w:name w:val="未处理的提及2"/>
    <w:basedOn w:val="730"/>
    <w:uiPriority w:val="99"/>
    <w:semiHidden/>
    <w:unhideWhenUsed/>
    <w:qFormat/>
    <w:rPr>
      <w:color w:val="605e5c"/>
      <w:shd w:val="clear" w:color="auto" w:fill="e1dfdd"/>
    </w:rPr>
  </w:style>
  <w:style w:type="character" w:styleId="1121" w:customStyle="1">
    <w:name w:val="font41"/>
    <w:basedOn w:val="730"/>
    <w:uiPriority w:val="0"/>
    <w:qFormat/>
    <w:rPr>
      <w:rFonts w:ascii="黑体" w:hAnsi="宋体" w:eastAsia="黑体" w:cs="黑体"/>
      <w:color w:val="000000"/>
      <w:sz w:val="18"/>
      <w:szCs w:val="18"/>
      <w:u w:val="none"/>
    </w:rPr>
  </w:style>
  <w:style w:type="character" w:styleId="1122" w:customStyle="1">
    <w:name w:val="font31"/>
    <w:basedOn w:val="730"/>
    <w:uiPriority w:val="0"/>
    <w:qFormat/>
    <w:rPr>
      <w:rFonts w:ascii="方正仿宋_GBK" w:hAnsi="方正仿宋_GBK" w:eastAsia="方正仿宋_GBK" w:cs="方正仿宋_GBK"/>
      <w:color w:val="000000"/>
      <w:sz w:val="18"/>
      <w:szCs w:val="18"/>
      <w:u w:val="none"/>
    </w:rPr>
  </w:style>
  <w:style w:type="paragraph" w:styleId="1123" w:customStyle="1">
    <w:name w:val="Table Text"/>
    <w:basedOn w:val="720"/>
    <w:uiPriority w:val="0"/>
    <w:semiHidden/>
    <w:qFormat/>
    <w:rPr>
      <w:rFonts w:ascii="宋体" w:hAnsi="宋体" w:eastAsia="宋体" w:cs="宋体"/>
      <w:sz w:val="20"/>
      <w:lang w:eastAsia="en-US"/>
    </w:rPr>
  </w:style>
  <w:style w:type="character" w:styleId="1124" w:customStyle="1">
    <w:name w:val="正文缩进 字符"/>
    <w:link w:val="735"/>
    <w:uiPriority w:val="0"/>
    <w:qFormat/>
    <w:rPr>
      <w:rFonts w:eastAsia="楷体_GB2312"/>
      <w:sz w:val="24"/>
    </w:rPr>
  </w:style>
  <w:style w:type="paragraph" w:styleId="1125" w:customStyle="1">
    <w:name w:val="正文(其它)"/>
    <w:basedOn w:val="720"/>
    <w:uiPriority w:val="0"/>
    <w:qFormat/>
    <w:pPr>
      <w:jc w:val="center"/>
      <w:spacing w:line="312" w:lineRule="auto"/>
    </w:pPr>
    <w:rPr>
      <w:rFonts w:ascii="黑体" w:eastAsia="黑体"/>
      <w:sz w:val="32"/>
      <w:szCs w:val="32"/>
    </w:rPr>
  </w:style>
  <w:style w:type="character" w:styleId="1126" w:customStyle="1">
    <w:name w:val="jj101"/>
    <w:uiPriority w:val="0"/>
    <w:qFormat/>
    <w:rPr>
      <w:sz w:val="20"/>
      <w:szCs w:val="20"/>
      <w:u w:val="none"/>
    </w:rPr>
  </w:style>
  <w:style w:type="character" w:styleId="1127" w:customStyle="1">
    <w:name w:val="apple-style-span"/>
    <w:basedOn w:val="730"/>
    <w:uiPriority w:val="0"/>
    <w:qFormat/>
  </w:style>
  <w:style w:type="paragraph" w:styleId="1128" w:customStyle="1">
    <w:name w:val="xl31"/>
    <w:basedOn w:val="720"/>
    <w:next w:val="763"/>
    <w:uiPriority w:val="0"/>
    <w:qFormat/>
    <w:pPr>
      <w:ind w:firstLine="3584"/>
      <w:spacing w:before="280" w:after="280"/>
      <w:widowControl/>
    </w:pPr>
  </w:style>
  <w:style w:type="paragraph" w:styleId="1129" w:customStyle="1">
    <w:name w:val="样式 小四 段前: 5 磅 段后: 5 磅 首行缩进:  2 字符"/>
    <w:basedOn w:val="720"/>
    <w:uiPriority w:val="0"/>
    <w:qFormat/>
    <w:pPr>
      <w:spacing w:line="360" w:lineRule="auto"/>
    </w:pPr>
    <w:rPr>
      <w:rFonts w:ascii="宋体" w:hAnsi="宋体"/>
      <w:szCs w:val="21"/>
    </w:rPr>
  </w:style>
  <w:style w:type="character" w:styleId="1130" w:customStyle="1">
    <w:name w:val="hover"/>
    <w:basedOn w:val="730"/>
    <w:uiPriority w:val="0"/>
    <w:qFormat/>
    <w:rPr>
      <w:color w:val="2590eb"/>
      <w:shd w:val="clear" w:color="auto" w:fill="e9f4fd"/>
    </w:rPr>
  </w:style>
  <w:style w:type="character" w:styleId="1131" w:customStyle="1">
    <w:name w:val="hover1"/>
    <w:basedOn w:val="730"/>
    <w:uiPriority w:val="0"/>
    <w:qFormat/>
  </w:style>
  <w:style w:type="character" w:styleId="1132" w:customStyle="1">
    <w:name w:val="hover2"/>
    <w:basedOn w:val="730"/>
    <w:uiPriority w:val="0"/>
    <w:qFormat/>
    <w:rPr>
      <w:color w:val="2590eb"/>
    </w:rPr>
  </w:style>
  <w:style w:type="character" w:styleId="1133" w:customStyle="1">
    <w:name w:val="hover3"/>
    <w:basedOn w:val="730"/>
    <w:uiPriority w:val="0"/>
    <w:qFormat/>
    <w:rPr>
      <w:color w:val="2590eb"/>
    </w:rPr>
  </w:style>
  <w:style w:type="paragraph" w:styleId="1134" w:customStyle="1">
    <w:name w:val="注释标题1"/>
    <w:basedOn w:val="720"/>
    <w:next w:val="720"/>
    <w:uiPriority w:val="0"/>
    <w:qFormat/>
    <w:pPr>
      <w:ind w:left="0" w:right="0" w:firstLine="480"/>
      <w:jc w:val="center"/>
      <w:spacing w:before="0" w:after="0" w:line="360" w:lineRule="auto"/>
      <w:widowControl w:val="off"/>
    </w:pPr>
    <w:rPr>
      <w:rFonts w:ascii="Times New Roman" w:hAnsi="Times New Roman" w:eastAsia="宋体" w:cs="Times New Roman"/>
      <w:sz w:val="21"/>
      <w:szCs w:val="24"/>
      <w:lang w:val="zh-CN" w:eastAsia="zh-CN" w:bidi="ar-SA"/>
    </w:rPr>
  </w:style>
  <w:style w:type="paragraph" w:styleId="1135" w:customStyle="1">
    <w:name w:val="列表段落"/>
    <w:basedOn w:val="720"/>
    <w:uiPriority w:val="34"/>
    <w:qFormat/>
    <w:pPr>
      <w:ind w:firstLine="420"/>
    </w:pPr>
    <w:rPr>
      <w:rFonts w:eastAsia="宋体"/>
      <w:sz w:val="21"/>
      <w:szCs w:val="24"/>
    </w:rPr>
  </w:style>
  <w:style w:type="numbering" w:styleId="11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contractReview xmlns="http://schemas.wps.cn/vas-ai-hub/contract-review">
  <reviewItems>
    <reviewItem>
      <errorID>3b3dcc2b-b410-4a82-b54b-767769efe529</errorID>
      <errorWord>：</errorWord>
      <group>L1_Format</group>
      <groupName>格式问题</groupName>
      <ability>L2_HalfPunc</ability>
      <abilityName>全半角检查</abilityName>
      <candidateList>
        <item>:</item>
      </candidateList>
      <explain>文本全半角错误。</explain>
      <paraID>192EC7A9</paraID>
      <start>59</start>
      <end>60</end>
      <status>modified</status>
      <modifiedWord>:</modifiedWord>
      <trackRevisions>false</trackRevisions>
    </reviewItem>
    <reviewItem>
      <errorID>2a66bdb4-ae6e-4d76-a681-944ebfb9d09a</errorID>
      <errorWord>75%-85%</errorWord>
      <group>L1_Knowledge</group>
      <groupName>知识性问题</groupName>
      <ability>L2_Knowledge</ability>
      <abilityName>其他知识</abilityName>
      <candidateList>
        <item>75%—85%</item>
      </candidateList>
      <explain>1. “75%-85%”中的单位“%”仅出现在后一个数字上，容易引起歧义；根据《现代汉语标点符号数字用法规范手册》，数字表示范围两边需要使用统一的格式。2. 根据标点国标 4.13 中的规则，数字、时间或地域连接符应使用（视觉上更长的）“—”或“～”。</explain>
      <paraID>67CB502B</paraID>
      <start>51</start>
      <end>58</end>
      <status>unmodified</status>
      <modifiedWord/>
      <trackRevisions>false</trackRevisions>
    </reviewItem>
    <reviewItem>
      <errorID>9df5470a-d268-493a-b7fe-f20d92af5564</errorID>
      <errorWord>：</errorWord>
      <group>L1_Format</group>
      <groupName>格式问题</groupName>
      <ability>L2_HalfPunc</ability>
      <abilityName>全半角检查</abilityName>
      <candidateList>
        <item>:</item>
      </candidateList>
      <explain>文本全半角错误。</explain>
      <paraID>6C7E6330</paraID>
      <start>29</start>
      <end>30</end>
      <status>modified</status>
      <modifiedWord>:</modifiedWord>
      <trackRevisions>false</trackRevisions>
    </reviewItem>
    <reviewItem>
      <errorID>e47511ea-a9c3-4fb2-8493-6c840f66534c</errorID>
      <errorWord>须</errorWord>
      <group>L1_Word</group>
      <groupName>字词问题</groupName>
      <ability>L2_Typo</ability>
      <abilityName>字词错误</abilityName>
      <candidateList>
        <item>需</item>
      </candidateList>
      <explain>存在发音相同字词的误用。</explain>
      <paraID>385CA3D8</paraID>
      <start>30</start>
      <end>31</end>
      <status>unmodified</status>
      <modifiedWord/>
      <trackRevisions>false</trackRevisions>
    </reviewItem>
    <reviewItem>
      <errorID>d18189f3-1ad1-4cda-a3cc-364932b8a8b7</errorID>
      <errorWord>75%-85%</errorWord>
      <group>L1_Knowledge</group>
      <groupName>知识性问题</groupName>
      <ability>L2_Knowledge</ability>
      <abilityName>其他知识</abilityName>
      <candidateList>
        <item>75%—85%</item>
      </candidateList>
      <explain>1. “75%-85%”中的单位“%”仅出现在后一个数字上，容易引起歧义；根据《现代汉语标点符号数字用法规范手册》，数字表示范围两边需要使用统一的格式。2. 根据标点国标 4.13 中的规则，数字、时间或地域连接符应使用（视觉上更长的）“—”或“～”。</explain>
      <paraID>49169BC9</paraID>
      <start>45</start>
      <end>52</end>
      <status>unmodified</status>
      <modifiedWord/>
      <trackRevisions>false</trackRevisions>
    </reviewItem>
    <reviewItem>
      <errorID>06c8d032-f6d6-46fd-b407-2036ce011bf7</errorID>
      <errorWord>：/</errorWord>
      <group>L1_Punc</group>
      <groupName>标点问题</groupName>
      <ability>L2_Punc</ability>
      <abilityName>标点符号检查</abilityName>
      <candidateList>
        <item>：</item>
      </candidateList>
      <explain/>
      <paraID>7DBEFE7F</paraID>
      <start>8</start>
      <end>10</end>
      <status>unmodified</status>
      <modifiedWord/>
      <trackRevisions>false</trackRevisions>
    </reviewItem>
    <reviewItem>
      <errorID>121e8032-5205-43e9-bc3b-1a9013a00452</errorID>
      <errorWord>：/</errorWord>
      <group>L1_Punc</group>
      <groupName>标点问题</groupName>
      <ability>L2_Punc</ability>
      <abilityName>标点符号检查</abilityName>
      <candidateList>
        <item>：</item>
      </candidateList>
      <explain/>
      <paraID> 21FDB1E</paraID>
      <start>12</start>
      <end>14</end>
      <status>unmodified</status>
      <modifiedWord/>
      <trackRevisions>false</trackRevisions>
    </reviewItem>
    <reviewItem>
      <errorID>64194139-16f7-46d6-b4a7-e71b354fe6ca</errorID>
      <errorWord>：/</errorWord>
      <group>L1_Punc</group>
      <groupName>标点问题</groupName>
      <ability>L2_Punc</ability>
      <abilityName>标点符号检查</abilityName>
      <candidateList>
        <item>：</item>
      </candidateList>
      <explain/>
      <paraID>5DD16172</paraID>
      <start>3</start>
      <end>5</end>
      <status>unmodified</status>
      <modifiedWord/>
      <trackRevisions>false</trackRevisions>
    </reviewItem>
    <reviewItem>
      <errorID>a7fa7b95-2a8e-4c8d-95e0-19c3310feaec</errorID>
      <errorWord>：/</errorWord>
      <group>L1_Punc</group>
      <groupName>标点问题</groupName>
      <ability>L2_Punc</ability>
      <abilityName>标点符号检查</abilityName>
      <candidateList>
        <item>：</item>
      </candidateList>
      <explain/>
      <paraID>5DD16172</paraID>
      <start>9</start>
      <end>11</end>
      <status>unmodified</status>
      <modifiedWord/>
      <trackRevisions>false</trackRevisions>
    </reviewItem>
    <reviewItem>
      <errorID>250d5dae-4658-4dd3-828f-db4150cd6cde</errorID>
      <errorWord>：/</errorWord>
      <group>L1_Punc</group>
      <groupName>标点问题</groupName>
      <ability>L2_Punc</ability>
      <abilityName>标点符号检查</abilityName>
      <candidateList>
        <item>：</item>
      </candidateList>
      <explain/>
      <paraID>711DD3C0</paraID>
      <start>4</start>
      <end>6</end>
      <status>unmodified</status>
      <modifiedWord/>
      <trackRevisions>false</trackRevisions>
    </reviewItem>
    <reviewItem>
      <errorID>92540fbf-f4fc-4ea1-ba87-ce5342e1687e</errorID>
      <errorWord>[2002]1980号</errorWord>
      <group>L1_Knowledge</group>
      <groupName>知识性问题</groupName>
      <ability>L2_Knowledge</ability>
      <abilityName>其他知识</abilityName>
      <candidateList>
        <item>〔2002〕1980号</item>
      </candidateList>
      <explain>发文字号格式错误。</explain>
      <paraID>4395587D</paraID>
      <start>10</start>
      <end>21</end>
      <status>unmodified</status>
      <modifiedWord/>
      <trackRevisions>false</trackRevisions>
    </reviewItem>
    <reviewItem>
      <errorID>969e45b1-40c2-430e-bd63-a5f2f7576f9e</errorID>
      <errorWord>，</errorWord>
      <group>L1_Word</group>
      <groupName>字词问题</groupName>
      <ability>L2_Typo</ability>
      <abilityName>字词错误</abilityName>
      <candidateList>
        <item>，并</item>
      </candidateList>
      <explain/>
      <paraID>7AEC7A92</paraID>
      <start>63</start>
      <end>64</end>
      <status>unmodified</status>
      <modifiedWord/>
      <trackRevisions>false</trackRevisions>
    </reviewItem>
    <reviewItem>
      <errorID>4a907ff9-fcc3-4316-8dd7-15bda38a264b</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16C3CC69</paraID>
      <start>27</start>
      <end>28</end>
      <status>modified</status>
      <modifiedWord>‘</modifiedWord>
      <trackRevisions>false</trackRevisions>
    </reviewItem>
    <reviewItem>
      <errorID>88bc8d3b-ae29-46a5-8a6a-53e55704ef48</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16C3CC69</paraID>
      <start>31</start>
      <end>32</end>
      <status>modified</status>
      <modifiedWord>’</modifiedWord>
      <trackRevisions>false</trackRevisions>
    </reviewItem>
    <reviewItem>
      <errorID>fd7e10bf-10f3-4187-87f1-7df25e23e977</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7A82A3B6</paraID>
      <start>27</start>
      <end>28</end>
      <status>modified</status>
      <modifiedWord>‘</modifiedWord>
      <trackRevisions>false</trackRevisions>
    </reviewItem>
    <reviewItem>
      <errorID>096bf465-f8f3-43ac-9839-7cede61a3327</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7A82A3B6</paraID>
      <start>31</start>
      <end>32</end>
      <status>modified</status>
      <modifiedWord>’</modifiedWord>
      <trackRevisions>false</trackRevisions>
    </reviewItem>
    <reviewItem>
      <errorID>c1bb2b0f-55ae-4a28-b8d6-e47aa0164e91</errorID>
      <errorWord>法律、法规</errorWord>
      <group>L1_Word</group>
      <groupName>字词问题</groupName>
      <ability>L2_Typo</ability>
      <abilityName>字词错误</abilityName>
      <candidateList>
        <item>法律法规</item>
      </candidateList>
      <explain/>
      <paraID>697FF0CD</paraID>
      <start>3</start>
      <end>7</end>
      <status>modified</status>
      <modifiedWord>法律法规</modifiedWord>
      <trackRevisions>false</trackRevisions>
    </reviewItem>
    <reviewItem>
      <errorID>0f49a9fa-9b8e-45f9-ae7d-d6239b3bde99</errorID>
      <errorWord>作</errorWord>
      <group>L1_Word</group>
      <groupName>字词问题</groupName>
      <ability>L2_Typo</ability>
      <abilityName>字词错误</abilityName>
      <candidateList>
        <item>作出</item>
      </candidateList>
      <explain/>
      <paraID>70E554E3</paraID>
      <start>89</start>
      <end>91</end>
      <status>modified</status>
      <modifiedWord>作出</modifiedWord>
      <trackRevisions>false</trackRevisions>
    </reviewItem>
    <reviewItem>
      <errorID>bfad6eb3-79b4-4ff7-b52e-9ee3fe07a572</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39550B07</paraID>
      <start>10</start>
      <end>11</end>
      <status>modified</status>
      <modifiedWord>‘</modifiedWord>
      <trackRevisions>false</trackRevisions>
    </reviewItem>
    <reviewItem>
      <errorID>45eff891-7ca5-4b1b-af66-f1d210b7b84e</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39550B07</paraID>
      <start>14</start>
      <end>15</end>
      <status>modified</status>
      <modifiedWord>’</modifiedWord>
      <trackRevisions>false</trackRevisions>
    </reviewItem>
    <reviewItem>
      <errorID>9c1fac64-725e-4d86-b444-d766cef48a6e</errorID>
      <errorWord>(</errorWord>
      <group>L1_Format</group>
      <groupName>格式问题</groupName>
      <ability>L2_HalfPunc</ability>
      <abilityName>全半角检查</abilityName>
      <candidateList>
        <item>（</item>
      </candidateList>
      <explain>文本全半角错误。</explain>
      <paraID>62873CC2</paraID>
      <start>34</start>
      <end>35</end>
      <status>modified</status>
      <modifiedWord>（</modifiedWord>
      <trackRevisions>false</trackRevisions>
    </reviewItem>
    <reviewItem>
      <errorID>3ad31246-d2ab-4bbc-b47b-b0cd0397f2e3</errorID>
      <errorWord>)</errorWord>
      <group>L1_Format</group>
      <groupName>格式问题</groupName>
      <ability>L2_HalfPunc</ability>
      <abilityName>全半角检查</abilityName>
      <candidateList>
        <item>）</item>
      </candidateList>
      <explain>文本全半角错误。</explain>
      <paraID>62873CC2</paraID>
      <start>44</start>
      <end>45</end>
      <status>modified</status>
      <modifiedWord>）</modifiedWord>
      <trackRevisions>false</trackRevisions>
    </reviewItem>
    <reviewItem>
      <errorID>8b135e24-d618-4c80-831c-745c1bbb00be</errorID>
      <errorWord>[2014]68号</errorWord>
      <group>L1_Knowledge</group>
      <groupName>知识性问题</groupName>
      <ability>L2_Knowledge</ability>
      <abilityName>其他知识</abilityName>
      <candidateList>
        <item>〔2014〕68号</item>
      </candidateList>
      <explain>发文字号格式错误。</explain>
      <paraID>3522201F</paraID>
      <start>36</start>
      <end>45</end>
      <status>modified</status>
      <modifiedWord>〔2014〕68号</modifiedWord>
      <trackRevisions>false</trackRevisions>
    </reviewItem>
    <reviewItem>
      <errorID>dbb74e97-3239-4686-992d-580acf9268a1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54C6C106</paraID>
      <start>19</start>
      <end>21</end>
      <status>modified</status>
      <modifiedWord>》《</modifiedWord>
      <trackRevisions>false</trackRevisions>
    </reviewItem>
    <reviewItem>
      <errorID>cdc20401-2f19-4e5a-8423-764920ef48fc</errorID>
      <errorWord>在第一时间内</errorWord>
      <group>L1_Word</group>
      <groupName>字词问题</groupName>
      <ability>L2_Typo</ability>
      <abilityName>字词错误</abilityName>
      <candidateList>
        <item>在第一时间</item>
      </candidateList>
      <explain/>
      <paraID>70990D29</paraID>
      <start>56</start>
      <end>61</end>
      <status>modified</status>
      <modifiedWord>在第一时间</modifiedWord>
      <trackRevisions>false</trackRevisions>
    </reviewItem>
    <reviewItem>
      <errorID>8597a9f7-f7de-4981-9287-63a0ae6f30d6</errorID>
      <errorWord>做出</errorWord>
      <group>L1_Word</group>
      <groupName>字词问题</groupName>
      <ability>L2_Typo</ability>
      <abilityName>字词错误</abilityName>
      <candidateList>
        <item>作出</item>
      </candidateList>
      <explain/>
      <paraID>70990D29</paraID>
      <start>92</start>
      <end>94</end>
      <status>modified</status>
      <modifiedWord>作出</modifiedWord>
      <trackRevisions>false</trackRevisions>
    </reviewItem>
    <reviewItem>
      <errorID>e1281536-7685-42a8-bb47-4664517d4ce1</errorID>
      <errorWord>75%-85%</errorWord>
      <group>L1_Knowledge</group>
      <groupName>知识性问题</groupName>
      <ability>L2_Knowledge</ability>
      <abilityName>其他知识</abilityName>
      <candidateList>
        <item>75%—85%</item>
      </candidateList>
      <explain>1. “75%-85%”中的单位“%”仅出现在后一个数字上，容易引起歧义；根据《现代汉语标点符号数字用法规范手册》，数字表示范围两边需要使用统一的格式。2. 根据标点国标 4.13 中的规则，数字、时间或地域连接符应使用（视觉上更长的）“—”或“～”。</explain>
      <paraID>4C787427</paraID>
      <start>63</start>
      <end>70</end>
      <status>unmodified</status>
      <modifiedWord/>
      <trackRevisions>false</trackRevisions>
    </reviewItem>
    <reviewItem>
      <errorID>a95f47db-e043-46fb-9378-fa20ef5f867d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20395ADA</paraID>
      <start>143</start>
      <end>146</end>
      <status>unmodified</status>
      <modifiedWord/>
      <trackRevisions>false</trackRevisions>
    </reviewItem>
    <reviewItem>
      <errorID>cf34597a-1cf8-439f-ada8-9c5d7e757239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20395ADA</paraID>
      <start>154</start>
      <end>157</end>
      <status>unmodified</status>
      <modifiedWord/>
      <trackRevisions>false</trackRevisions>
    </reviewItem>
    <reviewItem>
      <errorID>23277fee-91ee-4d16-adbb-d6b4d3cb8bd9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20395ADA</paraID>
      <start>167</start>
      <end>170</end>
      <status>unmodified</status>
      <modifiedWord/>
      <trackRevisions>false</trackRevisions>
    </reviewItem>
    <reviewItem>
      <errorID>f5afe80e-9929-4b43-8362-99d9799925ee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20395ADA</paraID>
      <start>181</start>
      <end>184</end>
      <status>unmodified</status>
      <modifiedWord/>
      <trackRevisions>false</trackRevisions>
    </reviewItem>
    <reviewItem>
      <errorID>4c1533ca-82bb-4d6a-bb96-b162a356f04f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20395ADA</paraID>
      <start>214</start>
      <end>215</end>
      <status>unmodified</status>
      <modifiedWord/>
      <trackRevisions>false</trackRevisions>
    </reviewItem>
    <reviewItem>
      <errorID>b68f50a9-77bb-425a-95d3-6ccbe9293cfa</errorID>
      <errorWord>污水厂</errorWord>
      <group>L1_Word</group>
      <groupName>字词问题</groupName>
      <ability>L2_Typo</ability>
      <abilityName>字词错误</abilityName>
      <candidateList>
        <item>污水处理厂</item>
      </candidateList>
      <explain/>
      <paraID>1D6EAA95</paraID>
      <start>55</start>
      <end>60</end>
      <status>modified</status>
      <modifiedWord>污水处理厂</modifiedWord>
      <trackRevisions>false</trackRevisions>
    </reviewItem>
    <reviewItem>
      <errorID>200d5387-031b-4724-a769-e7b4b800857b</errorID>
      <errorWord>污水厂</errorWord>
      <group>L1_Word</group>
      <groupName>字词问题</groupName>
      <ability>L2_Typo</ability>
      <abilityName>字词错误</abilityName>
      <candidateList>
        <item>污水处理厂</item>
      </candidateList>
      <explain/>
      <paraID>295C2603</paraID>
      <start>16</start>
      <end>21</end>
      <status>modified</status>
      <modifiedWord>污水处理厂</modifiedWord>
      <trackRevisions>false</trackRevisions>
    </reviewItem>
    <reviewItem>
      <errorID>5403364d-c7c4-4c8c-992c-f8913a27ada3</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295C2603</paraID>
      <start>207</start>
      <end>209</end>
      <status>unmodified</status>
      <modifiedWord/>
      <trackRevisions>false</trackRevisions>
    </reviewItem>
    <reviewItem>
      <errorID>3cc76817-6cb1-408b-9811-c11839be3d24</errorID>
      <errorWord>[2026]2号</errorWord>
      <group>L1_Knowledge</group>
      <groupName>知识性问题</groupName>
      <ability>L2_Knowledge</ability>
      <abilityName>其他知识</abilityName>
      <candidateList>
        <item>〔2026〕2号</item>
      </candidateList>
      <explain>发文字号格式错误。</explain>
      <paraID>4D25AC81</paraID>
      <start>4</start>
      <end>12</end>
      <status>modified</status>
      <modifiedWord>〔2026〕2号</modifiedWord>
      <trackRevisions>false</trackRevisions>
    </reviewItem>
    <reviewItem>
      <errorID>47547635-b076-4563-b3f6-fb48731f995d</errorID>
      <errorWord>&lt;</errorWord>
      <group>L1_Format</group>
      <groupName>格式问题</groupName>
      <ability>L2_HalfPunc</ability>
      <abilityName>全半角检查</abilityName>
      <candidateList>
        <item>〈</item>
      </candidateList>
      <explain>文本全半角错误。</explain>
      <paraID>30ACC61E</paraID>
      <start>48</start>
      <end>49</end>
      <status>unmodified</status>
      <modifiedWord/>
      <trackRevisions>false</trackRevisions>
    </reviewItem>
    <reviewItem>
      <errorID>3ce7f50e-3c6a-411f-a2fd-ff8d1e3c19bd</errorID>
      <errorWord>&lt;</errorWord>
      <group>L1_Format</group>
      <groupName>格式问题</groupName>
      <ability>L2_HalfPunc</ability>
      <abilityName>全半角检查</abilityName>
      <candidateList>
        <item>〈</item>
      </candidateList>
      <explain>文本全半角错误。</explain>
      <paraID> 8A11372</paraID>
      <start>48</start>
      <end>49</end>
      <status>unmodified</status>
      <modifiedWord/>
      <trackRevisions>false</trackRevisions>
    </reviewItem>
    <reviewItem>
      <errorID>900d0bf9-c222-4c47-ad54-b9e8c145581a</errorID>
      <errorWord>&lt;</errorWord>
      <group>L1_Format</group>
      <groupName>格式问题</groupName>
      <ability>L2_HalfPunc</ability>
      <abilityName>全半角检查</abilityName>
      <candidateList>
        <item>〈</item>
      </candidateList>
      <explain>文本全半角错误。</explain>
      <paraID>17FBDDB5</paraID>
      <start>33</start>
      <end>34</end>
      <status>unmodified</status>
      <modifiedWord/>
      <trackRevisions>false</trackRevisions>
    </reviewItem>
    <reviewItem>
      <errorID>1542ba05-2179-49dd-a02a-79f949ab1bfe</errorID>
      <errorWord>，</errorWord>
      <group>L1_Word</group>
      <groupName>字词问题</groupName>
      <ability>L2_Typo</ability>
      <abilityName>字词错误</abilityName>
      <candidateList>
        <item>，并</item>
      </candidateList>
      <explain/>
      <paraID>32D1B091</paraID>
      <start>72</start>
      <end>73</end>
      <status>unmodified</status>
      <modifiedWord/>
      <trackRevisions>false</trackRevisions>
    </reviewItem>
    <reviewItem>
      <errorID>dcaa587b-eb5e-480a-afed-b26e1ae994cd</errorID>
      <errorWord>(</errorWord>
      <group>L1_Format</group>
      <groupName>格式问题</groupName>
      <ability>L2_HalfPunc</ability>
      <abilityName>全半角检查</abilityName>
      <candidateList>
        <item>（</item>
      </candidateList>
      <explain>文本全半角错误。</explain>
      <paraID>3DD6118A</paraID>
      <start>33</start>
      <end>34</end>
      <status>modified</status>
      <modifiedWord>（</modifiedWord>
      <trackRevisions>false</trackRevisions>
    </reviewItem>
    <reviewItem>
      <errorID>45fc0837-9207-42a7-a884-4501322b1863</errorID>
      <errorWord>)</errorWord>
      <group>L1_Format</group>
      <groupName>格式问题</groupName>
      <ability>L2_HalfPunc</ability>
      <abilityName>全半角检查</abilityName>
      <candidateList>
        <item>）</item>
      </candidateList>
      <explain>文本全半角错误。</explain>
      <paraID>3DD6118A</paraID>
      <start>36</start>
      <end>37</end>
      <status>modified</status>
      <modifiedWord>）</modifiedWord>
      <trackRevisions>false</trackRevisions>
    </reviewItem>
    <reviewItem>
      <errorID>9a5267dc-cc31-4fca-935f-81a99d2f7e26</errorID>
      <errorWord>遇</errorWord>
      <group>L1_Word</group>
      <groupName>字词问题</groupName>
      <ability>L2_Typo</ability>
      <abilityName>字词错误</abilityName>
      <candidateList>
        <item>遇到</item>
      </candidateList>
      <explain/>
      <paraID>32F8201D</paraID>
      <start>36</start>
      <end>37</end>
      <status>unmodified</status>
      <modifiedWord/>
      <trackRevisions>false</trackRevisions>
    </reviewItem>
    <reviewItem>
      <errorID>abf509d7-8854-4703-8d84-a6b09390f3a0</errorID>
      <errorWord>(</errorWord>
      <group>L1_Format</group>
      <groupName>格式问题</groupName>
      <ability>L2_HalfPunc</ability>
      <abilityName>全半角检查</abilityName>
      <candidateList>
        <item>（</item>
      </candidateList>
      <explain>文本全半角错误。</explain>
      <paraID>7E84A583</paraID>
      <start>18</start>
      <end>19</end>
      <status>modified</status>
      <modifiedWord>（</modifiedWord>
      <trackRevisions>false</trackRevisions>
    </reviewItem>
    <reviewItem>
      <errorID>b7bd8f43-555c-4424-a378-dece2ef5dff6</errorID>
      <errorWord>)</errorWord>
      <group>L1_Format</group>
      <groupName>格式问题</groupName>
      <ability>L2_HalfPunc</ability>
      <abilityName>全半角检查</abilityName>
      <candidateList>
        <item>）</item>
      </candidateList>
      <explain>文本全半角错误。</explain>
      <paraID>7E84A583</paraID>
      <start>25</start>
      <end>26</end>
      <status>modified</status>
      <modifiedWord>）</modifiedWord>
      <trackRevisions>false</trackRevisions>
    </reviewItem>
    <reviewItem>
      <errorID>515af75e-5052-481b-ab29-63a0847fc242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38282E3F</paraID>
      <start>14</start>
      <end>17</end>
      <status>unmodified</status>
      <modifiedWord/>
      <trackRevisions>false</trackRevisions>
    </reviewItem>
    <reviewItem>
      <errorID>47b59386-628c-455e-bb3f-f75eb377063c</errorID>
      <errorWord>污水厂</errorWord>
      <group>L1_Word</group>
      <groupName>字词问题</groupName>
      <ability>L2_Typo</ability>
      <abilityName>字词错误</abilityName>
      <candidateList>
        <item>污水处理厂</item>
      </candidateList>
      <explain/>
      <paraID>5969CE25</paraID>
      <start>16</start>
      <end>21</end>
      <status>modified</status>
      <modifiedWord>污水处理厂</modifiedWord>
      <trackRevisions>false</trackRevisions>
    </reviewItem>
    <reviewItem>
      <errorID>ab341f4e-e749-456b-9e35-08cee5794834</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5969CE25</paraID>
      <start>188</start>
      <end>190</end>
      <status>unmodified</status>
      <modifiedWord/>
      <trackRevisions>false</trackRevisions>
    </reviewItem>
    <reviewItem>
      <errorID>3af9b912-8d27-4658-a3c5-f02246ab2741</errorID>
      <errorWord>作</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 B2B680F</paraID>
      <start>22</start>
      <end>23</end>
      <status>unmodified</status>
      <modifiedWord/>
      <trackRevisions>false</trackRevisions>
    </reviewItem>
    <reviewItem>
      <errorID>e3198364-b761-4b60-865a-90c86dcb7e8c</errorID>
      <errorWord>任</errorWord>
      <group>L1_Word</group>
      <groupName>字词问题</groupName>
      <ability>L2_Typo</ability>
      <abilityName>字词错误</abilityName>
      <candidateList>
        <item>任何</item>
      </candidateList>
      <explain>〈代〉指示代词。不论什么：～人都要遵纪守法｜我们能够战胜～困难。</explain>
      <paraID> 8759DBE</paraID>
      <start>85</start>
      <end>87</end>
      <status>modified</status>
      <modifiedWord>任何</modifiedWord>
      <trackRevisions>false</trackRevisions>
    </reviewItem>
    <reviewItem>
      <errorID>a299fdd8-3064-4ea7-82fd-3546ba303e8c</errorID>
      <errorWord>仍</errorWord>
      <group>L1_Word</group>
      <groupName>字词问题</groupName>
      <ability>L2_Typo</ability>
      <abilityName>字词错误</abilityName>
      <candidateList>
        <item>仍有</item>
      </candidateList>
      <explain/>
      <paraID>1E2F0D19</paraID>
      <start>28</start>
      <end>29</end>
      <status>unmodified</status>
      <modifiedWord/>
      <trackRevisions>false</trackRevisions>
    </reviewItem>
    <reviewItem>
      <errorID>07e351fb-9826-42b6-919f-6492ecdb6f70</errorID>
      <errorWord>并</errorWord>
      <group>L1_Word</group>
      <groupName>字词问题</groupName>
      <ability>L2_Typo</ability>
      <abilityName>字词错误</abilityName>
      <candidateList>
        <item>并加</item>
      </candidateList>
      <explain/>
      <paraID>4B55D504</paraID>
      <start>12</start>
      <end>13</end>
      <status>unmodified</status>
      <modifiedWord/>
      <trackRevisions>false</trackRevisions>
    </reviewItem>
    <reviewItem>
      <errorID>eba1d578-6114-4cc8-9bbf-08e5feea701d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509806CD</paraID>
      <start>18</start>
      <end>21</end>
      <status>unmodified</status>
      <modifiedWord/>
      <trackRevisions>false</trackRevisions>
    </reviewItem>
    <reviewItem>
      <errorID>8785cedc-dc15-49d8-928b-e10460951143</errorID>
      <errorWord>其它</errorWord>
      <group>L1_Word</group>
      <groupName>字词问题</groupName>
      <ability>L2_Alias</ability>
      <abilityName>也作/曾用词</abilityName>
      <candidateList>
        <item>其他</item>
      </candidateList>
      <explain>词汇[其它]为不规范表述或旧称，其规范书面表述为[其他]。</explain>
      <paraID>509806CD</paraID>
      <start>70</start>
      <end>72</end>
      <status>unmodified</status>
      <modifiedWord/>
      <trackRevisions>false</trackRevisions>
    </reviewItem>
    <reviewItem>
      <errorID>245647b3-dd14-4e3c-82fb-0c3515a0ce44</errorID>
      <errorWord>，</errorWord>
      <group>L1_Word</group>
      <groupName>字词问题</groupName>
      <ability>L2_Typo</ability>
      <abilityName>字词错误</abilityName>
      <candidateList>
        <item>，自</item>
      </candidateList>
      <explain/>
      <paraID> F6658C0</paraID>
      <start>12</start>
      <end>14</end>
      <status>modified</status>
      <modifiedWord>，自</modifiedWord>
      <trackRevisions>false</trackRevisions>
    </reviewItem>
    <reviewItem>
      <errorID>7a4ceb00-7455-469a-bc0a-ae4e16c7f39b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F6658C0</paraID>
      <start>60</start>
      <end>62</end>
      <status>modified</status>
      <modifiedWord>》《</modifiedWord>
      <trackRevisions>false</trackRevisions>
    </reviewItem>
    <reviewItem>
      <errorID>aa0e6383-4459-44da-99b8-366b85b8fae8</errorID>
      <errorWord>法律、法规</errorWord>
      <group>L1_Word</group>
      <groupName>字词问题</groupName>
      <ability>L2_Typo</ability>
      <abilityName>字词错误</abilityName>
      <candidateList>
        <item>法律法规</item>
      </candidateList>
      <explain/>
      <paraID> F6658C0</paraID>
      <start>82</start>
      <end>86</end>
      <status>modified</status>
      <modifiedWord>法律法规</modifiedWord>
      <trackRevisions>false</trackRevisions>
    </reviewItem>
    <reviewItem>
      <errorID>ed1aac28-06b4-4c83-918e-37585dcbcb99</errorID>
      <errorWord>(</errorWord>
      <group>L1_Format</group>
      <groupName>格式问题</groupName>
      <ability>L2_HalfPunc</ability>
      <abilityName>全半角检查</abilityName>
      <candidateList>
        <item>（</item>
      </candidateList>
      <explain>文本全半角错误。</explain>
      <paraID>57E8DE70</paraID>
      <start>54</start>
      <end>55</end>
      <status>modified</status>
      <modifiedWord>（</modifiedWord>
      <trackRevisions>false</trackRevisions>
    </reviewItem>
    <reviewItem>
      <errorID>0fd9a31d-1ffa-4ce1-922d-f1333b432ba4</errorID>
      <errorWord>)</errorWord>
      <group>L1_Format</group>
      <groupName>格式问题</groupName>
      <ability>L2_HalfPunc</ability>
      <abilityName>全半角检查</abilityName>
      <candidateList>
        <item>）</item>
      </candidateList>
      <explain>文本全半角错误。</explain>
      <paraID>57E8DE70</paraID>
      <start>58</start>
      <end>59</end>
      <status>modified</status>
      <modifiedWord>）</modifiedWord>
      <trackRevisions>false</trackRevisions>
    </reviewItem>
    <reviewItem>
      <errorID>f86de39e-f438-4da4-ac83-8102415212dc</errorID>
      <errorWord>（</errorWord>
      <group>L1_Punc</group>
      <groupName>标点问题</groupName>
      <ability>L2_Punc</ability>
      <abilityName>标点符号检查</abilityName>
      <candidateList/>
      <explain>同一形式括号套用。</explain>
      <paraID>63C9464D</paraID>
      <start>27</start>
      <end>28</end>
      <status>unmodified</status>
      <modifiedWord/>
      <trackRevisions>false</trackRevisions>
    </reviewItem>
    <reviewItem>
      <errorID>4cda8156-d62f-4db9-83f2-bdf850c445e1</errorID>
      <errorWord>【2011】300号</errorWord>
      <group>L1_Knowledge</group>
      <groupName>知识性问题</groupName>
      <ability>L2_Knowledge</ability>
      <abilityName>其他知识</abilityName>
      <candidateList>
        <item>〔2011〕300号</item>
      </candidateList>
      <explain>发文字号格式错误。</explain>
      <paraID>63C9464D</paraID>
      <start>34</start>
      <end>44</end>
      <status>modified</status>
      <modifiedWord>〔2011〕300号</modifiedWord>
      <trackRevisions>false</trackRevisions>
    </reviewItem>
    <reviewItem>
      <errorID>8b277b20-2c94-4f20-8d78-1fb5ffb19fbd</errorID>
      <errorWord>）</errorWord>
      <group>L1_Punc</group>
      <groupName>标点问题</groupName>
      <ability>L2_Punc</ability>
      <abilityName>标点符号检查</abilityName>
      <candidateList/>
      <explain>同一形式括号套用。</explain>
      <paraID>63C9464D</paraID>
      <start>44</start>
      <end>45</end>
      <status>unmodified</status>
      <modifiedWord/>
      <trackRevisions>false</trackRevisions>
    </reviewItem>
    <reviewItem>
      <errorID>aed91d39-ffa4-4b8d-8703-42410592a0ae</errorID>
      <errorWord>(</errorWord>
      <group>L1_Format</group>
      <groupName>格式问题</groupName>
      <ability>L2_HalfPunc</ability>
      <abilityName>全半角检查</abilityName>
      <candidateList>
        <item>（</item>
      </candidateList>
      <explain>文本全半角错误。</explain>
      <paraID>367B0790</paraID>
      <start>2</start>
      <end>3</end>
      <status>modified</status>
      <modifiedWord>（</modifiedWord>
      <trackRevisions>false</trackRevisions>
    </reviewItem>
    <reviewItem>
      <errorID>e78bfadf-0be4-4e48-99d7-c173476a1868</errorID>
      <errorWord>)</errorWord>
      <group>L1_Format</group>
      <groupName>格式问题</groupName>
      <ability>L2_HalfPunc</ability>
      <abilityName>全半角检查</abilityName>
      <candidateList>
        <item>）</item>
      </candidateList>
      <explain>文本全半角错误。</explain>
      <paraID>367B0790</paraID>
      <start>8</start>
      <end>9</end>
      <status>modified</status>
      <modifiedWord>）</modifiedWord>
      <trackRevisions>false</trackRevisions>
    </reviewItem>
  </reviewItems>
  <config/>
</contractReview>
</file>

<file path=customXml/itemProps1.xml><?xml version="1.0" encoding="utf-8"?>
<ds:datastoreItem xmlns:ds="http://schemas.openxmlformats.org/officeDocument/2006/customXml" ds:itemID="{28935D2D-D4E9-41C4-B2A1-0BB002980A8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7289FEAD-4744-4AEC-B6A0-39591C63E060}"/>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周纯</cp:lastModifiedBy>
  <cp:revision>629</cp:revision>
  <dcterms:created xsi:type="dcterms:W3CDTF">2022-04-11T07:36:00Z</dcterms:created>
  <dcterms:modified xsi:type="dcterms:W3CDTF">2026-07-13T08:47:41Z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BC39045215C04C96BC202B473B7EC421_13</vt:lpwstr>
  </property>
  <property fmtid="{D5CDD505-2E9C-101B-9397-08002B2CF9AE}" pid="4" name="KSOTemplateDocerSaveRecord">
    <vt:lpwstr>eyJoZGlkIjoiY2I1ZWQyMDIzMmI2OGYyYzI2YTM3OTg4YjAxOTQ1MWIiLCJ1c2VySWQiOiIzMTU1ODEyOTcifQ==</vt:lpwstr>
  </property>
</Properties>
</file>